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2642" w:rsidRPr="001C02DA" w:rsidRDefault="00172642" w:rsidP="0096792B">
      <w:pPr>
        <w:spacing w:after="240" w:line="480" w:lineRule="auto"/>
        <w:jc w:val="center"/>
        <w:rPr>
          <w:rFonts w:ascii="Times New Roman" w:eastAsia="Times New Roman" w:hAnsi="Times New Roman" w:cs="Times New Roman"/>
          <w:bCs/>
          <w:sz w:val="24"/>
          <w:szCs w:val="24"/>
        </w:rPr>
      </w:pPr>
      <w:bookmarkStart w:id="0" w:name="_GoBack"/>
      <w:bookmarkEnd w:id="0"/>
      <w:r w:rsidRPr="001C02DA">
        <w:rPr>
          <w:rFonts w:ascii="Times New Roman" w:eastAsia="Times New Roman" w:hAnsi="Times New Roman" w:cs="Times New Roman"/>
          <w:bCs/>
          <w:sz w:val="24"/>
          <w:szCs w:val="24"/>
        </w:rPr>
        <w:t xml:space="preserve">INOVAÇÃO EM EMPRESAS </w:t>
      </w:r>
      <w:r w:rsidR="00D71246">
        <w:rPr>
          <w:rFonts w:ascii="Times New Roman" w:eastAsia="Times New Roman" w:hAnsi="Times New Roman" w:cs="Times New Roman"/>
          <w:bCs/>
          <w:sz w:val="24"/>
          <w:szCs w:val="24"/>
        </w:rPr>
        <w:t xml:space="preserve">MINEIRAS </w:t>
      </w:r>
      <w:r w:rsidRPr="001C02DA">
        <w:rPr>
          <w:rFonts w:ascii="Times New Roman" w:eastAsia="Times New Roman" w:hAnsi="Times New Roman" w:cs="Times New Roman"/>
          <w:bCs/>
          <w:sz w:val="24"/>
          <w:szCs w:val="24"/>
        </w:rPr>
        <w:t>DE TECNOLOGIA DA INFORMAÇÃO</w:t>
      </w:r>
      <w:r w:rsidR="000A12D2" w:rsidRPr="001C02DA">
        <w:rPr>
          <w:rFonts w:ascii="Times New Roman" w:eastAsia="Times New Roman" w:hAnsi="Times New Roman" w:cs="Times New Roman"/>
          <w:bCs/>
          <w:sz w:val="24"/>
          <w:szCs w:val="24"/>
        </w:rPr>
        <w:t xml:space="preserve"> </w:t>
      </w:r>
    </w:p>
    <w:p w:rsidR="00F9283B" w:rsidRPr="0096792B" w:rsidRDefault="00EE5831" w:rsidP="0096792B">
      <w:pPr>
        <w:widowControl w:val="0"/>
        <w:spacing w:after="240" w:line="480" w:lineRule="auto"/>
        <w:rPr>
          <w:rFonts w:ascii="Times New Roman" w:eastAsia="Times New Roman" w:hAnsi="Times New Roman" w:cs="Times New Roman"/>
          <w:sz w:val="24"/>
          <w:szCs w:val="24"/>
        </w:rPr>
      </w:pPr>
      <w:r w:rsidRPr="0096792B">
        <w:rPr>
          <w:rFonts w:ascii="Times New Roman" w:eastAsia="Times New Roman" w:hAnsi="Times New Roman" w:cs="Times New Roman"/>
          <w:sz w:val="24"/>
          <w:szCs w:val="24"/>
        </w:rPr>
        <w:t>O</w:t>
      </w:r>
      <w:r w:rsidR="0042649D" w:rsidRPr="0096792B">
        <w:rPr>
          <w:rFonts w:ascii="Times New Roman" w:eastAsia="Times New Roman" w:hAnsi="Times New Roman" w:cs="Times New Roman"/>
          <w:sz w:val="24"/>
          <w:szCs w:val="24"/>
        </w:rPr>
        <w:t xml:space="preserve">s avanços nas pesquisas sobre </w:t>
      </w:r>
      <w:r w:rsidRPr="0096792B">
        <w:rPr>
          <w:rFonts w:ascii="Times New Roman" w:eastAsia="Times New Roman" w:hAnsi="Times New Roman" w:cs="Times New Roman"/>
          <w:sz w:val="24"/>
          <w:szCs w:val="24"/>
        </w:rPr>
        <w:t>s</w:t>
      </w:r>
      <w:r w:rsidR="00EE5CAF" w:rsidRPr="0096792B">
        <w:rPr>
          <w:rFonts w:ascii="Times New Roman" w:eastAsia="Times New Roman" w:hAnsi="Times New Roman" w:cs="Times New Roman"/>
          <w:sz w:val="24"/>
          <w:szCs w:val="24"/>
        </w:rPr>
        <w:t xml:space="preserve">erviços </w:t>
      </w:r>
      <w:r w:rsidRPr="0096792B">
        <w:rPr>
          <w:rFonts w:ascii="Times New Roman" w:eastAsia="Times New Roman" w:hAnsi="Times New Roman" w:cs="Times New Roman"/>
          <w:sz w:val="24"/>
          <w:szCs w:val="24"/>
        </w:rPr>
        <w:t>i</w:t>
      </w:r>
      <w:r w:rsidR="00EE5CAF" w:rsidRPr="0096792B">
        <w:rPr>
          <w:rFonts w:ascii="Times New Roman" w:eastAsia="Times New Roman" w:hAnsi="Times New Roman" w:cs="Times New Roman"/>
          <w:sz w:val="24"/>
          <w:szCs w:val="24"/>
        </w:rPr>
        <w:t xml:space="preserve">ntensivos </w:t>
      </w:r>
      <w:r w:rsidR="0042649D" w:rsidRPr="0096792B">
        <w:rPr>
          <w:rFonts w:ascii="Times New Roman" w:eastAsia="Times New Roman" w:hAnsi="Times New Roman" w:cs="Times New Roman"/>
          <w:sz w:val="24"/>
          <w:szCs w:val="24"/>
        </w:rPr>
        <w:t xml:space="preserve">em </w:t>
      </w:r>
      <w:r w:rsidRPr="0096792B">
        <w:rPr>
          <w:rFonts w:ascii="Times New Roman" w:eastAsia="Times New Roman" w:hAnsi="Times New Roman" w:cs="Times New Roman"/>
          <w:sz w:val="24"/>
          <w:szCs w:val="24"/>
        </w:rPr>
        <w:t>c</w:t>
      </w:r>
      <w:r w:rsidR="00EE5CAF" w:rsidRPr="0096792B">
        <w:rPr>
          <w:rFonts w:ascii="Times New Roman" w:eastAsia="Times New Roman" w:hAnsi="Times New Roman" w:cs="Times New Roman"/>
          <w:sz w:val="24"/>
          <w:szCs w:val="24"/>
        </w:rPr>
        <w:t>onhecimento</w:t>
      </w:r>
      <w:r w:rsidRPr="0096792B">
        <w:rPr>
          <w:rFonts w:ascii="Times New Roman" w:eastAsia="Times New Roman" w:hAnsi="Times New Roman" w:cs="Times New Roman"/>
          <w:sz w:val="24"/>
          <w:szCs w:val="24"/>
        </w:rPr>
        <w:t xml:space="preserve"> têm sido notáveis</w:t>
      </w:r>
      <w:r w:rsidR="0042649D" w:rsidRPr="0096792B">
        <w:rPr>
          <w:rFonts w:ascii="Times New Roman" w:eastAsia="Times New Roman" w:hAnsi="Times New Roman" w:cs="Times New Roman"/>
          <w:sz w:val="24"/>
          <w:szCs w:val="24"/>
        </w:rPr>
        <w:t xml:space="preserve">, </w:t>
      </w:r>
      <w:r w:rsidR="00953450" w:rsidRPr="0096792B">
        <w:rPr>
          <w:rFonts w:ascii="Times New Roman" w:eastAsia="Times New Roman" w:hAnsi="Times New Roman" w:cs="Times New Roman"/>
          <w:sz w:val="24"/>
          <w:szCs w:val="24"/>
        </w:rPr>
        <w:t xml:space="preserve">principalmente </w:t>
      </w:r>
      <w:bookmarkStart w:id="1" w:name="_Hlk512518064"/>
      <w:r w:rsidR="00953450" w:rsidRPr="0096792B">
        <w:rPr>
          <w:rFonts w:ascii="Times New Roman" w:eastAsia="Times New Roman" w:hAnsi="Times New Roman" w:cs="Times New Roman"/>
          <w:sz w:val="24"/>
          <w:szCs w:val="24"/>
        </w:rPr>
        <w:t xml:space="preserve">no que se refere ao </w:t>
      </w:r>
      <w:r w:rsidR="00FC0444" w:rsidRPr="0096792B">
        <w:rPr>
          <w:rFonts w:ascii="Times New Roman" w:eastAsia="Times New Roman" w:hAnsi="Times New Roman" w:cs="Times New Roman"/>
          <w:sz w:val="24"/>
          <w:szCs w:val="24"/>
        </w:rPr>
        <w:t xml:space="preserve">conceito de inovação e </w:t>
      </w:r>
      <w:r w:rsidR="00953450" w:rsidRPr="0096792B">
        <w:rPr>
          <w:rFonts w:ascii="Times New Roman" w:eastAsia="Times New Roman" w:hAnsi="Times New Roman" w:cs="Times New Roman"/>
          <w:sz w:val="24"/>
          <w:szCs w:val="24"/>
        </w:rPr>
        <w:t>aos</w:t>
      </w:r>
      <w:r w:rsidR="0042649D" w:rsidRPr="0096792B">
        <w:rPr>
          <w:rFonts w:ascii="Times New Roman" w:eastAsia="Times New Roman" w:hAnsi="Times New Roman" w:cs="Times New Roman"/>
          <w:sz w:val="24"/>
          <w:szCs w:val="24"/>
        </w:rPr>
        <w:t xml:space="preserve"> </w:t>
      </w:r>
      <w:r w:rsidR="00DF5B7F">
        <w:rPr>
          <w:rFonts w:ascii="Times New Roman" w:eastAsia="Times New Roman" w:hAnsi="Times New Roman" w:cs="Times New Roman"/>
          <w:sz w:val="24"/>
          <w:szCs w:val="24"/>
        </w:rPr>
        <w:t>aspectos</w:t>
      </w:r>
      <w:r w:rsidR="00DF5B7F" w:rsidRPr="0096792B">
        <w:rPr>
          <w:rFonts w:ascii="Times New Roman" w:eastAsia="Times New Roman" w:hAnsi="Times New Roman" w:cs="Times New Roman"/>
          <w:sz w:val="24"/>
          <w:szCs w:val="24"/>
        </w:rPr>
        <w:t xml:space="preserve"> </w:t>
      </w:r>
      <w:r w:rsidR="0042649D" w:rsidRPr="0096792B">
        <w:rPr>
          <w:rFonts w:ascii="Times New Roman" w:eastAsia="Times New Roman" w:hAnsi="Times New Roman" w:cs="Times New Roman"/>
          <w:sz w:val="24"/>
          <w:szCs w:val="24"/>
        </w:rPr>
        <w:t xml:space="preserve">que sustentam os </w:t>
      </w:r>
      <w:r w:rsidRPr="0096792B">
        <w:rPr>
          <w:rFonts w:ascii="Times New Roman" w:eastAsia="Times New Roman" w:hAnsi="Times New Roman" w:cs="Times New Roman"/>
          <w:sz w:val="24"/>
          <w:szCs w:val="24"/>
        </w:rPr>
        <w:t xml:space="preserve">distintos </w:t>
      </w:r>
      <w:r w:rsidR="0042649D" w:rsidRPr="0096792B">
        <w:rPr>
          <w:rFonts w:ascii="Times New Roman" w:eastAsia="Times New Roman" w:hAnsi="Times New Roman" w:cs="Times New Roman"/>
          <w:sz w:val="24"/>
          <w:szCs w:val="24"/>
        </w:rPr>
        <w:t xml:space="preserve">processos </w:t>
      </w:r>
      <w:r w:rsidR="00DF5B7F">
        <w:rPr>
          <w:rFonts w:ascii="Times New Roman" w:eastAsia="Times New Roman" w:hAnsi="Times New Roman" w:cs="Times New Roman"/>
          <w:sz w:val="24"/>
          <w:szCs w:val="24"/>
        </w:rPr>
        <w:t>inovativos</w:t>
      </w:r>
      <w:r w:rsidR="0042649D" w:rsidRPr="0096792B">
        <w:rPr>
          <w:rFonts w:ascii="Times New Roman" w:eastAsia="Times New Roman" w:hAnsi="Times New Roman" w:cs="Times New Roman"/>
          <w:sz w:val="24"/>
          <w:szCs w:val="24"/>
        </w:rPr>
        <w:t xml:space="preserve"> nesses setores</w:t>
      </w:r>
      <w:r w:rsidR="0057164B" w:rsidRPr="0096792B">
        <w:rPr>
          <w:rFonts w:ascii="Times New Roman" w:eastAsia="Times New Roman" w:hAnsi="Times New Roman" w:cs="Times New Roman"/>
          <w:sz w:val="24"/>
          <w:szCs w:val="24"/>
        </w:rPr>
        <w:t xml:space="preserve">. </w:t>
      </w:r>
      <w:bookmarkEnd w:id="1"/>
      <w:r w:rsidRPr="0096792B">
        <w:rPr>
          <w:rFonts w:ascii="Times New Roman" w:eastAsia="Times New Roman" w:hAnsi="Times New Roman" w:cs="Times New Roman"/>
          <w:sz w:val="24"/>
          <w:szCs w:val="24"/>
        </w:rPr>
        <w:t xml:space="preserve">Com vistas ao esclarecimento dessas diferenças, </w:t>
      </w:r>
      <w:r w:rsidR="0042649D" w:rsidRPr="0096792B">
        <w:rPr>
          <w:rFonts w:ascii="Times New Roman" w:eastAsia="Times New Roman" w:hAnsi="Times New Roman" w:cs="Times New Roman"/>
          <w:sz w:val="24"/>
          <w:szCs w:val="24"/>
        </w:rPr>
        <w:t>o</w:t>
      </w:r>
      <w:r w:rsidR="007976D9" w:rsidRPr="0096792B">
        <w:rPr>
          <w:rFonts w:ascii="Times New Roman" w:eastAsia="Times New Roman" w:hAnsi="Times New Roman" w:cs="Times New Roman"/>
          <w:sz w:val="24"/>
          <w:szCs w:val="24"/>
        </w:rPr>
        <w:t xml:space="preserve"> objetivo deste </w:t>
      </w:r>
      <w:r w:rsidR="000D7A9E" w:rsidRPr="0096792B">
        <w:rPr>
          <w:rFonts w:ascii="Times New Roman" w:eastAsia="Times New Roman" w:hAnsi="Times New Roman" w:cs="Times New Roman"/>
          <w:sz w:val="24"/>
          <w:szCs w:val="24"/>
        </w:rPr>
        <w:t xml:space="preserve">estudo </w:t>
      </w:r>
      <w:r w:rsidR="00FC0444" w:rsidRPr="0096792B">
        <w:rPr>
          <w:rFonts w:ascii="Times New Roman" w:eastAsia="Times New Roman" w:hAnsi="Times New Roman" w:cs="Times New Roman"/>
          <w:sz w:val="24"/>
          <w:szCs w:val="24"/>
        </w:rPr>
        <w:t>é</w:t>
      </w:r>
      <w:r w:rsidR="00555B6A" w:rsidRPr="0096792B">
        <w:rPr>
          <w:rFonts w:ascii="Times New Roman" w:eastAsia="Times New Roman" w:hAnsi="Times New Roman" w:cs="Times New Roman"/>
          <w:sz w:val="24"/>
          <w:szCs w:val="24"/>
        </w:rPr>
        <w:t xml:space="preserve"> </w:t>
      </w:r>
      <w:r w:rsidR="003239A4" w:rsidRPr="0096792B">
        <w:rPr>
          <w:rFonts w:ascii="Times New Roman" w:eastAsia="Times New Roman" w:hAnsi="Times New Roman" w:cs="Times New Roman"/>
          <w:sz w:val="24"/>
          <w:szCs w:val="24"/>
        </w:rPr>
        <w:t>analisar a</w:t>
      </w:r>
      <w:r w:rsidR="00FC0444" w:rsidRPr="0096792B">
        <w:rPr>
          <w:rFonts w:ascii="Times New Roman" w:eastAsia="Times New Roman" w:hAnsi="Times New Roman" w:cs="Times New Roman"/>
          <w:sz w:val="24"/>
          <w:szCs w:val="24"/>
        </w:rPr>
        <w:t xml:space="preserve"> inovação </w:t>
      </w:r>
      <w:r w:rsidRPr="0096792B">
        <w:rPr>
          <w:rFonts w:ascii="Times New Roman" w:hAnsi="Times New Roman" w:cs="Times New Roman"/>
          <w:sz w:val="24"/>
          <w:szCs w:val="24"/>
        </w:rPr>
        <w:t>nas</w:t>
      </w:r>
      <w:r w:rsidR="00FC0444" w:rsidRPr="0096792B">
        <w:rPr>
          <w:rFonts w:ascii="Times New Roman" w:hAnsi="Times New Roman" w:cs="Times New Roman"/>
          <w:sz w:val="24"/>
          <w:szCs w:val="24"/>
        </w:rPr>
        <w:t xml:space="preserve"> empresas mineiras de Tecnologia da Informação</w:t>
      </w:r>
      <w:r w:rsidR="00B505A5" w:rsidRPr="0096792B">
        <w:rPr>
          <w:rFonts w:ascii="Times New Roman" w:hAnsi="Times New Roman" w:cs="Times New Roman"/>
          <w:sz w:val="24"/>
          <w:szCs w:val="24"/>
        </w:rPr>
        <w:t xml:space="preserve"> (TI)</w:t>
      </w:r>
      <w:r w:rsidR="00FC0444" w:rsidRPr="0096792B">
        <w:rPr>
          <w:rFonts w:ascii="Times New Roman" w:hAnsi="Times New Roman" w:cs="Times New Roman"/>
          <w:sz w:val="24"/>
          <w:szCs w:val="24"/>
        </w:rPr>
        <w:t xml:space="preserve">, indo além das variáveis avaliadas na PINTEC e abarcando </w:t>
      </w:r>
      <w:r w:rsidR="007B3D02" w:rsidRPr="0096792B">
        <w:rPr>
          <w:rFonts w:ascii="Times New Roman" w:eastAsia="Times New Roman" w:hAnsi="Times New Roman" w:cs="Times New Roman"/>
          <w:sz w:val="24"/>
          <w:szCs w:val="24"/>
        </w:rPr>
        <w:t xml:space="preserve">elementos ligados a estrutura, processos, gestão e </w:t>
      </w:r>
      <w:r w:rsidR="00083A70" w:rsidRPr="0096792B">
        <w:rPr>
          <w:rFonts w:ascii="Times New Roman" w:eastAsia="Times New Roman" w:hAnsi="Times New Roman" w:cs="Times New Roman"/>
          <w:sz w:val="24"/>
          <w:szCs w:val="24"/>
        </w:rPr>
        <w:t>recursos humanos</w:t>
      </w:r>
      <w:r w:rsidR="007B3D02" w:rsidRPr="0096792B">
        <w:rPr>
          <w:rFonts w:ascii="Times New Roman" w:eastAsia="Times New Roman" w:hAnsi="Times New Roman" w:cs="Times New Roman"/>
          <w:sz w:val="24"/>
          <w:szCs w:val="24"/>
        </w:rPr>
        <w:t>.</w:t>
      </w:r>
      <w:r w:rsidR="00FC0444" w:rsidRPr="0096792B">
        <w:rPr>
          <w:rFonts w:ascii="Times New Roman" w:eastAsia="Times New Roman" w:hAnsi="Times New Roman" w:cs="Times New Roman"/>
          <w:sz w:val="24"/>
          <w:szCs w:val="24"/>
        </w:rPr>
        <w:t xml:space="preserve"> </w:t>
      </w:r>
      <w:r w:rsidRPr="0096792B">
        <w:rPr>
          <w:rFonts w:ascii="Times New Roman" w:eastAsia="Times New Roman" w:hAnsi="Times New Roman" w:cs="Times New Roman"/>
          <w:sz w:val="24"/>
          <w:szCs w:val="24"/>
        </w:rPr>
        <w:t>A</w:t>
      </w:r>
      <w:r w:rsidR="007B3D02" w:rsidRPr="0096792B">
        <w:rPr>
          <w:rFonts w:ascii="Times New Roman" w:eastAsia="Times New Roman" w:hAnsi="Times New Roman" w:cs="Times New Roman"/>
          <w:sz w:val="24"/>
          <w:szCs w:val="24"/>
        </w:rPr>
        <w:t xml:space="preserve"> discussão teórica</w:t>
      </w:r>
      <w:r w:rsidR="0057164B" w:rsidRPr="0096792B">
        <w:rPr>
          <w:rFonts w:ascii="Times New Roman" w:eastAsia="Times New Roman" w:hAnsi="Times New Roman" w:cs="Times New Roman"/>
          <w:sz w:val="24"/>
          <w:szCs w:val="24"/>
        </w:rPr>
        <w:t xml:space="preserve"> </w:t>
      </w:r>
      <w:r w:rsidR="007B3D02" w:rsidRPr="0096792B">
        <w:rPr>
          <w:rFonts w:ascii="Times New Roman" w:eastAsia="Times New Roman" w:hAnsi="Times New Roman" w:cs="Times New Roman"/>
          <w:sz w:val="24"/>
          <w:szCs w:val="24"/>
        </w:rPr>
        <w:t xml:space="preserve">abrange </w:t>
      </w:r>
      <w:r w:rsidR="000D7A9E" w:rsidRPr="0096792B">
        <w:rPr>
          <w:rFonts w:ascii="Times New Roman" w:eastAsia="Times New Roman" w:hAnsi="Times New Roman" w:cs="Times New Roman"/>
          <w:sz w:val="24"/>
          <w:szCs w:val="24"/>
        </w:rPr>
        <w:t>a</w:t>
      </w:r>
      <w:r w:rsidR="007B3D02" w:rsidRPr="0096792B">
        <w:rPr>
          <w:rFonts w:ascii="Times New Roman" w:eastAsia="Times New Roman" w:hAnsi="Times New Roman" w:cs="Times New Roman"/>
          <w:sz w:val="24"/>
          <w:szCs w:val="24"/>
        </w:rPr>
        <w:t xml:space="preserve"> inovação</w:t>
      </w:r>
      <w:r w:rsidRPr="0096792B">
        <w:rPr>
          <w:rFonts w:ascii="Times New Roman" w:eastAsia="Times New Roman" w:hAnsi="Times New Roman" w:cs="Times New Roman"/>
          <w:sz w:val="24"/>
          <w:szCs w:val="24"/>
        </w:rPr>
        <w:t xml:space="preserve"> e</w:t>
      </w:r>
      <w:r w:rsidR="00FC0444" w:rsidRPr="0096792B">
        <w:rPr>
          <w:rFonts w:ascii="Times New Roman" w:eastAsia="Times New Roman" w:hAnsi="Times New Roman" w:cs="Times New Roman"/>
          <w:sz w:val="24"/>
          <w:szCs w:val="24"/>
        </w:rPr>
        <w:t xml:space="preserve"> sua importância ao desenvolvimento econômico e social</w:t>
      </w:r>
      <w:r w:rsidRPr="0096792B">
        <w:rPr>
          <w:rFonts w:ascii="Times New Roman" w:eastAsia="Times New Roman" w:hAnsi="Times New Roman" w:cs="Times New Roman"/>
          <w:sz w:val="24"/>
          <w:szCs w:val="24"/>
        </w:rPr>
        <w:t>, bem como características d</w:t>
      </w:r>
      <w:r w:rsidR="00E62421" w:rsidRPr="0096792B">
        <w:rPr>
          <w:rFonts w:ascii="Times New Roman" w:eastAsia="Times New Roman" w:hAnsi="Times New Roman" w:cs="Times New Roman"/>
          <w:sz w:val="24"/>
          <w:szCs w:val="24"/>
        </w:rPr>
        <w:t>o processo inovativo</w:t>
      </w:r>
      <w:r w:rsidRPr="0096792B">
        <w:rPr>
          <w:rFonts w:ascii="Times New Roman" w:eastAsia="Times New Roman" w:hAnsi="Times New Roman" w:cs="Times New Roman"/>
          <w:sz w:val="24"/>
          <w:szCs w:val="24"/>
        </w:rPr>
        <w:t xml:space="preserve"> em TI</w:t>
      </w:r>
      <w:r w:rsidR="00E62421" w:rsidRPr="0096792B">
        <w:rPr>
          <w:rFonts w:ascii="Times New Roman" w:eastAsia="Times New Roman" w:hAnsi="Times New Roman" w:cs="Times New Roman"/>
          <w:sz w:val="24"/>
          <w:szCs w:val="24"/>
        </w:rPr>
        <w:t xml:space="preserve">, </w:t>
      </w:r>
      <w:r w:rsidR="00FC0444" w:rsidRPr="0096792B">
        <w:rPr>
          <w:rFonts w:ascii="Times New Roman" w:eastAsia="Times New Roman" w:hAnsi="Times New Roman" w:cs="Times New Roman"/>
          <w:sz w:val="24"/>
          <w:szCs w:val="24"/>
        </w:rPr>
        <w:t>inovação organizacional e recursos humanos</w:t>
      </w:r>
      <w:r w:rsidR="007B3D02" w:rsidRPr="0096792B">
        <w:rPr>
          <w:rFonts w:ascii="Times New Roman" w:eastAsia="Times New Roman" w:hAnsi="Times New Roman" w:cs="Times New Roman"/>
          <w:sz w:val="24"/>
          <w:szCs w:val="24"/>
        </w:rPr>
        <w:t xml:space="preserve">. </w:t>
      </w:r>
      <w:r w:rsidR="00DA1800" w:rsidRPr="0096792B">
        <w:rPr>
          <w:rFonts w:ascii="Times New Roman" w:eastAsia="Times New Roman" w:hAnsi="Times New Roman" w:cs="Times New Roman"/>
          <w:sz w:val="24"/>
          <w:szCs w:val="24"/>
        </w:rPr>
        <w:t xml:space="preserve">Baseando-se na realização </w:t>
      </w:r>
      <w:r w:rsidR="00497115" w:rsidRPr="0096792B">
        <w:rPr>
          <w:rFonts w:ascii="Times New Roman" w:eastAsia="Times New Roman" w:hAnsi="Times New Roman" w:cs="Times New Roman"/>
          <w:sz w:val="24"/>
          <w:szCs w:val="24"/>
        </w:rPr>
        <w:t xml:space="preserve">de um </w:t>
      </w:r>
      <w:r w:rsidR="007B3D02" w:rsidRPr="0096792B">
        <w:rPr>
          <w:rFonts w:ascii="Times New Roman" w:eastAsia="Times New Roman" w:hAnsi="Times New Roman" w:cs="Times New Roman"/>
          <w:i/>
          <w:sz w:val="24"/>
          <w:szCs w:val="24"/>
        </w:rPr>
        <w:t>survey</w:t>
      </w:r>
      <w:r w:rsidRPr="0096792B">
        <w:rPr>
          <w:rFonts w:ascii="Times New Roman" w:eastAsia="Times New Roman" w:hAnsi="Times New Roman" w:cs="Times New Roman"/>
          <w:sz w:val="24"/>
          <w:szCs w:val="24"/>
        </w:rPr>
        <w:t xml:space="preserve"> em 44 organizações</w:t>
      </w:r>
      <w:r w:rsidR="00B8776D" w:rsidRPr="0096792B">
        <w:rPr>
          <w:rFonts w:ascii="Times New Roman" w:eastAsia="Times New Roman" w:hAnsi="Times New Roman" w:cs="Times New Roman"/>
          <w:sz w:val="24"/>
          <w:szCs w:val="24"/>
        </w:rPr>
        <w:t>,</w:t>
      </w:r>
      <w:r w:rsidR="007B3D02" w:rsidRPr="0096792B">
        <w:rPr>
          <w:rFonts w:ascii="Times New Roman" w:eastAsia="Times New Roman" w:hAnsi="Times New Roman" w:cs="Times New Roman"/>
          <w:sz w:val="24"/>
          <w:szCs w:val="24"/>
        </w:rPr>
        <w:t xml:space="preserve"> </w:t>
      </w:r>
      <w:r w:rsidR="00BA274F" w:rsidRPr="0096792B">
        <w:rPr>
          <w:rFonts w:ascii="Times New Roman" w:eastAsia="Times New Roman" w:hAnsi="Times New Roman" w:cs="Times New Roman"/>
          <w:sz w:val="24"/>
          <w:szCs w:val="24"/>
        </w:rPr>
        <w:t xml:space="preserve">conclui-se que </w:t>
      </w:r>
      <w:r w:rsidRPr="0096792B">
        <w:rPr>
          <w:rFonts w:ascii="Times New Roman" w:eastAsia="Times New Roman" w:hAnsi="Times New Roman" w:cs="Times New Roman"/>
          <w:sz w:val="24"/>
          <w:szCs w:val="24"/>
        </w:rPr>
        <w:t xml:space="preserve">elas </w:t>
      </w:r>
      <w:r w:rsidR="00BA274F" w:rsidRPr="0096792B">
        <w:rPr>
          <w:rFonts w:ascii="Times New Roman" w:eastAsia="Times New Roman" w:hAnsi="Times New Roman" w:cs="Times New Roman"/>
          <w:sz w:val="24"/>
          <w:szCs w:val="24"/>
        </w:rPr>
        <w:t>inovam em diversas frentes, possuem equipes qualificadas e dão importância estratégica à inovação</w:t>
      </w:r>
      <w:r w:rsidR="007B3D02" w:rsidRPr="0096792B">
        <w:rPr>
          <w:rFonts w:ascii="Times New Roman" w:eastAsia="Times New Roman" w:hAnsi="Times New Roman" w:cs="Times New Roman"/>
          <w:sz w:val="24"/>
          <w:szCs w:val="24"/>
        </w:rPr>
        <w:t xml:space="preserve">, embora </w:t>
      </w:r>
      <w:r w:rsidR="000D7A9E" w:rsidRPr="0096792B">
        <w:rPr>
          <w:rFonts w:ascii="Times New Roman" w:eastAsia="Times New Roman" w:hAnsi="Times New Roman" w:cs="Times New Roman"/>
          <w:sz w:val="24"/>
          <w:szCs w:val="24"/>
        </w:rPr>
        <w:t>não a tenham</w:t>
      </w:r>
      <w:r w:rsidR="007B3D02" w:rsidRPr="0096792B">
        <w:rPr>
          <w:rFonts w:ascii="Times New Roman" w:eastAsia="Times New Roman" w:hAnsi="Times New Roman" w:cs="Times New Roman"/>
          <w:sz w:val="24"/>
          <w:szCs w:val="24"/>
        </w:rPr>
        <w:t xml:space="preserve"> perfeitamente estruturada e gerenciada.</w:t>
      </w:r>
      <w:r w:rsidR="00375612" w:rsidRPr="0096792B">
        <w:rPr>
          <w:rFonts w:ascii="Times New Roman" w:eastAsia="Times New Roman" w:hAnsi="Times New Roman" w:cs="Times New Roman"/>
          <w:sz w:val="24"/>
          <w:szCs w:val="24"/>
        </w:rPr>
        <w:t xml:space="preserve"> Isso sinaliza </w:t>
      </w:r>
      <w:r w:rsidR="000D7A9E" w:rsidRPr="0096792B">
        <w:rPr>
          <w:rFonts w:ascii="Times New Roman" w:eastAsia="Times New Roman" w:hAnsi="Times New Roman" w:cs="Times New Roman"/>
          <w:sz w:val="24"/>
          <w:szCs w:val="24"/>
        </w:rPr>
        <w:t xml:space="preserve">possíveis </w:t>
      </w:r>
      <w:r w:rsidR="00375612" w:rsidRPr="0096792B">
        <w:rPr>
          <w:rFonts w:ascii="Times New Roman" w:eastAsia="Times New Roman" w:hAnsi="Times New Roman" w:cs="Times New Roman"/>
          <w:sz w:val="24"/>
          <w:szCs w:val="24"/>
        </w:rPr>
        <w:t xml:space="preserve">estratégias necessárias ao apoio </w:t>
      </w:r>
      <w:r w:rsidR="000D7A9E" w:rsidRPr="0096792B">
        <w:rPr>
          <w:rFonts w:ascii="Times New Roman" w:eastAsia="Times New Roman" w:hAnsi="Times New Roman" w:cs="Times New Roman"/>
          <w:sz w:val="24"/>
          <w:szCs w:val="24"/>
        </w:rPr>
        <w:t>à inovação</w:t>
      </w:r>
      <w:r w:rsidR="00F446E5" w:rsidRPr="0096792B">
        <w:rPr>
          <w:rFonts w:ascii="Times New Roman" w:eastAsia="Times New Roman" w:hAnsi="Times New Roman" w:cs="Times New Roman"/>
          <w:sz w:val="24"/>
          <w:szCs w:val="24"/>
        </w:rPr>
        <w:t xml:space="preserve"> </w:t>
      </w:r>
      <w:r w:rsidRPr="0096792B">
        <w:rPr>
          <w:rFonts w:ascii="Times New Roman" w:eastAsia="Times New Roman" w:hAnsi="Times New Roman" w:cs="Times New Roman"/>
          <w:sz w:val="24"/>
          <w:szCs w:val="24"/>
        </w:rPr>
        <w:t>nesse setor</w:t>
      </w:r>
      <w:r w:rsidR="00B505A5" w:rsidRPr="0096792B">
        <w:rPr>
          <w:rFonts w:ascii="Times New Roman" w:eastAsia="Times New Roman" w:hAnsi="Times New Roman" w:cs="Times New Roman"/>
          <w:sz w:val="24"/>
          <w:szCs w:val="24"/>
        </w:rPr>
        <w:t xml:space="preserve"> </w:t>
      </w:r>
      <w:r w:rsidR="000D7A9E" w:rsidRPr="0096792B">
        <w:rPr>
          <w:rFonts w:ascii="Times New Roman" w:eastAsia="Times New Roman" w:hAnsi="Times New Roman" w:cs="Times New Roman"/>
          <w:sz w:val="24"/>
          <w:szCs w:val="24"/>
        </w:rPr>
        <w:t>em Minas Gerais.</w:t>
      </w:r>
    </w:p>
    <w:p w:rsidR="006114A1" w:rsidRPr="0096792B" w:rsidRDefault="007B3D02" w:rsidP="0096792B">
      <w:pPr>
        <w:widowControl w:val="0"/>
        <w:spacing w:after="240" w:line="480" w:lineRule="auto"/>
        <w:rPr>
          <w:rFonts w:ascii="Times New Roman" w:eastAsia="Times New Roman" w:hAnsi="Times New Roman" w:cs="Times New Roman"/>
          <w:bCs/>
          <w:sz w:val="24"/>
          <w:szCs w:val="24"/>
        </w:rPr>
      </w:pPr>
      <w:r w:rsidRPr="0096792B">
        <w:rPr>
          <w:rFonts w:ascii="Times New Roman" w:eastAsia="Times New Roman" w:hAnsi="Times New Roman" w:cs="Times New Roman"/>
          <w:b/>
          <w:bCs/>
          <w:sz w:val="24"/>
          <w:szCs w:val="24"/>
        </w:rPr>
        <w:t xml:space="preserve">Palavras-chave: </w:t>
      </w:r>
      <w:r w:rsidRPr="0096792B">
        <w:rPr>
          <w:rFonts w:ascii="Times New Roman" w:eastAsia="Times New Roman" w:hAnsi="Times New Roman" w:cs="Times New Roman"/>
          <w:bCs/>
          <w:sz w:val="24"/>
          <w:szCs w:val="24"/>
        </w:rPr>
        <w:t xml:space="preserve">Inovação Tecnológica; Inovação Organizacional; </w:t>
      </w:r>
      <w:r w:rsidR="00DC712C" w:rsidRPr="0096792B">
        <w:rPr>
          <w:rFonts w:ascii="Times New Roman" w:eastAsia="Times New Roman" w:hAnsi="Times New Roman" w:cs="Times New Roman"/>
          <w:bCs/>
          <w:sz w:val="24"/>
          <w:szCs w:val="24"/>
        </w:rPr>
        <w:t xml:space="preserve">Setor de Tecnologia da Informação; </w:t>
      </w:r>
      <w:r w:rsidRPr="0096792B">
        <w:rPr>
          <w:rFonts w:ascii="Times New Roman" w:eastAsia="Times New Roman" w:hAnsi="Times New Roman" w:cs="Times New Roman"/>
          <w:bCs/>
          <w:sz w:val="24"/>
          <w:szCs w:val="24"/>
        </w:rPr>
        <w:t>Serviços Intensivos em Conhecimento; Minas Gerais</w:t>
      </w:r>
      <w:r w:rsidR="00020577" w:rsidRPr="0096792B">
        <w:rPr>
          <w:rFonts w:ascii="Times New Roman" w:eastAsia="Times New Roman" w:hAnsi="Times New Roman" w:cs="Times New Roman"/>
          <w:bCs/>
          <w:sz w:val="24"/>
          <w:szCs w:val="24"/>
        </w:rPr>
        <w:t>.</w:t>
      </w:r>
    </w:p>
    <w:p w:rsidR="00CE3E24" w:rsidRPr="0096792B" w:rsidRDefault="00CE3E24" w:rsidP="0096792B">
      <w:pPr>
        <w:widowControl w:val="0"/>
        <w:spacing w:after="240" w:line="480" w:lineRule="auto"/>
        <w:rPr>
          <w:rFonts w:ascii="Times New Roman" w:eastAsia="Times New Roman" w:hAnsi="Times New Roman" w:cs="Times New Roman"/>
          <w:bCs/>
          <w:sz w:val="24"/>
          <w:szCs w:val="24"/>
        </w:rPr>
      </w:pPr>
    </w:p>
    <w:p w:rsidR="00CE3E24" w:rsidRPr="001C02DA" w:rsidRDefault="009D30BD" w:rsidP="001C02DA">
      <w:pPr>
        <w:widowControl w:val="0"/>
        <w:spacing w:after="240" w:line="480" w:lineRule="auto"/>
        <w:jc w:val="center"/>
        <w:rPr>
          <w:rFonts w:ascii="Times New Roman" w:eastAsia="Times New Roman" w:hAnsi="Times New Roman" w:cs="Times New Roman"/>
          <w:bCs/>
          <w:sz w:val="24"/>
          <w:szCs w:val="24"/>
          <w:lang w:val="en-US"/>
        </w:rPr>
      </w:pPr>
      <w:r w:rsidRPr="001C02DA">
        <w:rPr>
          <w:rFonts w:ascii="Times New Roman" w:eastAsia="Times New Roman" w:hAnsi="Times New Roman" w:cs="Times New Roman"/>
          <w:bCs/>
          <w:sz w:val="24"/>
          <w:szCs w:val="24"/>
          <w:lang w:val="en-US"/>
        </w:rPr>
        <w:t xml:space="preserve">INNOVATION IN INFORMATION TECHNOLOGY </w:t>
      </w:r>
      <w:r w:rsidR="00B036D5">
        <w:rPr>
          <w:rFonts w:ascii="Times New Roman" w:eastAsia="Times New Roman" w:hAnsi="Times New Roman" w:cs="Times New Roman"/>
          <w:bCs/>
          <w:sz w:val="24"/>
          <w:szCs w:val="24"/>
          <w:lang w:val="en-US"/>
        </w:rPr>
        <w:t>FIRMS</w:t>
      </w:r>
      <w:r w:rsidR="006101A1">
        <w:rPr>
          <w:rFonts w:ascii="Times New Roman" w:eastAsia="Times New Roman" w:hAnsi="Times New Roman" w:cs="Times New Roman"/>
          <w:bCs/>
          <w:sz w:val="24"/>
          <w:szCs w:val="24"/>
          <w:lang w:val="en-US"/>
        </w:rPr>
        <w:t xml:space="preserve"> FROM MINAS GERAIS</w:t>
      </w:r>
    </w:p>
    <w:p w:rsidR="00CE3E24" w:rsidRPr="0096792B" w:rsidRDefault="003239A4" w:rsidP="0096792B">
      <w:pPr>
        <w:widowControl w:val="0"/>
        <w:spacing w:after="240" w:line="480" w:lineRule="auto"/>
        <w:rPr>
          <w:rFonts w:ascii="Times New Roman" w:eastAsia="Times New Roman" w:hAnsi="Times New Roman" w:cs="Times New Roman"/>
          <w:sz w:val="24"/>
          <w:szCs w:val="24"/>
          <w:lang w:val="en-US"/>
        </w:rPr>
      </w:pPr>
      <w:r w:rsidRPr="0096792B">
        <w:rPr>
          <w:rFonts w:ascii="Times New Roman" w:eastAsia="Times New Roman" w:hAnsi="Times New Roman" w:cs="Times New Roman"/>
          <w:sz w:val="24"/>
          <w:szCs w:val="24"/>
          <w:lang w:val="en-US"/>
        </w:rPr>
        <w:t>Recent advances in knowledge intensive services research have been noticeable, specially concerning concept</w:t>
      </w:r>
      <w:r w:rsidR="003E1816" w:rsidRPr="0096792B">
        <w:rPr>
          <w:rFonts w:ascii="Times New Roman" w:eastAsia="Times New Roman" w:hAnsi="Times New Roman" w:cs="Times New Roman"/>
          <w:sz w:val="24"/>
          <w:szCs w:val="24"/>
          <w:lang w:val="en-US"/>
        </w:rPr>
        <w:t>ual definitions</w:t>
      </w:r>
      <w:r w:rsidRPr="0096792B">
        <w:rPr>
          <w:rFonts w:ascii="Times New Roman" w:eastAsia="Times New Roman" w:hAnsi="Times New Roman" w:cs="Times New Roman"/>
          <w:sz w:val="24"/>
          <w:szCs w:val="24"/>
          <w:lang w:val="en-US"/>
        </w:rPr>
        <w:t xml:space="preserve"> of innovation and components that support different innovation processes </w:t>
      </w:r>
      <w:r w:rsidR="003E1816" w:rsidRPr="0096792B">
        <w:rPr>
          <w:rFonts w:ascii="Times New Roman" w:eastAsia="Times New Roman" w:hAnsi="Times New Roman" w:cs="Times New Roman"/>
          <w:sz w:val="24"/>
          <w:szCs w:val="24"/>
          <w:lang w:val="en-US"/>
        </w:rPr>
        <w:t>of</w:t>
      </w:r>
      <w:r w:rsidRPr="0096792B">
        <w:rPr>
          <w:rFonts w:ascii="Times New Roman" w:eastAsia="Times New Roman" w:hAnsi="Times New Roman" w:cs="Times New Roman"/>
          <w:sz w:val="24"/>
          <w:szCs w:val="24"/>
          <w:lang w:val="en-US"/>
        </w:rPr>
        <w:t xml:space="preserve"> these sectors. In order to clarify these differences, this study aims at analyzing innovation in Information Technology (IT) companies from Minas Gerais</w:t>
      </w:r>
      <w:r w:rsidR="00CE3E24" w:rsidRPr="0096792B">
        <w:rPr>
          <w:rFonts w:ascii="Times New Roman" w:hAnsi="Times New Roman" w:cs="Times New Roman"/>
          <w:sz w:val="24"/>
          <w:szCs w:val="24"/>
          <w:lang w:val="en-US"/>
        </w:rPr>
        <w:t xml:space="preserve">, </w:t>
      </w:r>
      <w:r w:rsidR="003E1816" w:rsidRPr="0096792B">
        <w:rPr>
          <w:rFonts w:ascii="Times New Roman" w:hAnsi="Times New Roman" w:cs="Times New Roman"/>
          <w:sz w:val="24"/>
          <w:szCs w:val="24"/>
          <w:lang w:val="en-US"/>
        </w:rPr>
        <w:t>going beyond the</w:t>
      </w:r>
      <w:r w:rsidRPr="0096792B">
        <w:rPr>
          <w:rFonts w:ascii="Times New Roman" w:hAnsi="Times New Roman" w:cs="Times New Roman"/>
          <w:sz w:val="24"/>
          <w:szCs w:val="24"/>
          <w:lang w:val="en-US"/>
        </w:rPr>
        <w:t xml:space="preserve"> variables from PINTEC and including structure, processes, management, and human resources</w:t>
      </w:r>
      <w:r w:rsidR="003E1816" w:rsidRPr="0096792B">
        <w:rPr>
          <w:rFonts w:ascii="Times New Roman" w:hAnsi="Times New Roman" w:cs="Times New Roman"/>
          <w:sz w:val="24"/>
          <w:szCs w:val="24"/>
          <w:lang w:val="en-US"/>
        </w:rPr>
        <w:t xml:space="preserve"> components</w:t>
      </w:r>
      <w:r w:rsidRPr="0096792B">
        <w:rPr>
          <w:rFonts w:ascii="Times New Roman" w:hAnsi="Times New Roman" w:cs="Times New Roman"/>
          <w:sz w:val="24"/>
          <w:szCs w:val="24"/>
          <w:lang w:val="en-US"/>
        </w:rPr>
        <w:t xml:space="preserve">. The theoretical discussion involves innovation and its </w:t>
      </w:r>
      <w:r w:rsidRPr="0096792B">
        <w:rPr>
          <w:rFonts w:ascii="Times New Roman" w:hAnsi="Times New Roman" w:cs="Times New Roman"/>
          <w:sz w:val="24"/>
          <w:szCs w:val="24"/>
          <w:lang w:val="en-US"/>
        </w:rPr>
        <w:lastRenderedPageBreak/>
        <w:t xml:space="preserve">importance to economic and social development, as well as </w:t>
      </w:r>
      <w:r w:rsidR="003E1816" w:rsidRPr="0096792B">
        <w:rPr>
          <w:rFonts w:ascii="Times New Roman" w:hAnsi="Times New Roman" w:cs="Times New Roman"/>
          <w:sz w:val="24"/>
          <w:szCs w:val="24"/>
          <w:lang w:val="en-US"/>
        </w:rPr>
        <w:t xml:space="preserve">the </w:t>
      </w:r>
      <w:r w:rsidRPr="0096792B">
        <w:rPr>
          <w:rFonts w:ascii="Times New Roman" w:hAnsi="Times New Roman" w:cs="Times New Roman"/>
          <w:sz w:val="24"/>
          <w:szCs w:val="24"/>
          <w:lang w:val="en-US"/>
        </w:rPr>
        <w:t>characteristics of innovation processes in IT companies</w:t>
      </w:r>
      <w:r w:rsidR="00223E3E" w:rsidRPr="0096792B">
        <w:rPr>
          <w:rFonts w:ascii="Times New Roman" w:hAnsi="Times New Roman" w:cs="Times New Roman"/>
          <w:sz w:val="24"/>
          <w:szCs w:val="24"/>
          <w:lang w:val="en-US"/>
        </w:rPr>
        <w:t xml:space="preserve">, organizational innovation and human resources. Based on survey data of 44 organizations, </w:t>
      </w:r>
      <w:r w:rsidR="003E1816" w:rsidRPr="0096792B">
        <w:rPr>
          <w:rFonts w:ascii="Times New Roman" w:hAnsi="Times New Roman" w:cs="Times New Roman"/>
          <w:sz w:val="24"/>
          <w:szCs w:val="24"/>
          <w:lang w:val="en-US"/>
        </w:rPr>
        <w:t xml:space="preserve">results show </w:t>
      </w:r>
      <w:r w:rsidR="00223E3E" w:rsidRPr="0096792B">
        <w:rPr>
          <w:rFonts w:ascii="Times New Roman" w:hAnsi="Times New Roman" w:cs="Times New Roman"/>
          <w:sz w:val="24"/>
          <w:szCs w:val="24"/>
          <w:lang w:val="en-US"/>
        </w:rPr>
        <w:t>that they innovate in several fronts, have teams with high qualifications</w:t>
      </w:r>
      <w:r w:rsidR="003E1816" w:rsidRPr="0096792B">
        <w:rPr>
          <w:rFonts w:ascii="Times New Roman" w:hAnsi="Times New Roman" w:cs="Times New Roman"/>
          <w:sz w:val="24"/>
          <w:szCs w:val="24"/>
          <w:lang w:val="en-US"/>
        </w:rPr>
        <w:t>,</w:t>
      </w:r>
      <w:r w:rsidR="00223E3E" w:rsidRPr="0096792B">
        <w:rPr>
          <w:rFonts w:ascii="Times New Roman" w:hAnsi="Times New Roman" w:cs="Times New Roman"/>
          <w:sz w:val="24"/>
          <w:szCs w:val="24"/>
          <w:lang w:val="en-US"/>
        </w:rPr>
        <w:t xml:space="preserve"> and give strategic importance to innovation, although it is not perfectly structured and managed. </w:t>
      </w:r>
      <w:r w:rsidR="003E1816" w:rsidRPr="0096792B">
        <w:rPr>
          <w:rFonts w:ascii="Times New Roman" w:hAnsi="Times New Roman" w:cs="Times New Roman"/>
          <w:sz w:val="24"/>
          <w:szCs w:val="24"/>
          <w:lang w:val="en-US"/>
        </w:rPr>
        <w:t xml:space="preserve">This study </w:t>
      </w:r>
      <w:r w:rsidR="00223E3E" w:rsidRPr="0096792B">
        <w:rPr>
          <w:rFonts w:ascii="Times New Roman" w:hAnsi="Times New Roman" w:cs="Times New Roman"/>
          <w:sz w:val="24"/>
          <w:szCs w:val="24"/>
          <w:lang w:val="en-US"/>
        </w:rPr>
        <w:t>signal to possible initiatives to provide better support to innovation in this sector in Minas Gerais.</w:t>
      </w:r>
    </w:p>
    <w:p w:rsidR="00CE3E24" w:rsidRPr="0096792B" w:rsidRDefault="003E1816" w:rsidP="0096792B">
      <w:pPr>
        <w:widowControl w:val="0"/>
        <w:spacing w:after="240" w:line="480" w:lineRule="auto"/>
        <w:rPr>
          <w:rFonts w:ascii="Times New Roman" w:hAnsi="Times New Roman" w:cs="Times New Roman"/>
          <w:sz w:val="24"/>
          <w:szCs w:val="24"/>
          <w:lang w:val="en-US"/>
        </w:rPr>
      </w:pPr>
      <w:r w:rsidRPr="0096792B">
        <w:rPr>
          <w:rFonts w:ascii="Times New Roman" w:eastAsia="Times New Roman" w:hAnsi="Times New Roman" w:cs="Times New Roman"/>
          <w:b/>
          <w:bCs/>
          <w:sz w:val="24"/>
          <w:szCs w:val="24"/>
          <w:lang w:val="en-US"/>
        </w:rPr>
        <w:t>Key-words</w:t>
      </w:r>
      <w:r w:rsidR="00CE3E24" w:rsidRPr="0096792B">
        <w:rPr>
          <w:rFonts w:ascii="Times New Roman" w:eastAsia="Times New Roman" w:hAnsi="Times New Roman" w:cs="Times New Roman"/>
          <w:b/>
          <w:bCs/>
          <w:sz w:val="24"/>
          <w:szCs w:val="24"/>
          <w:lang w:val="en-US"/>
        </w:rPr>
        <w:t xml:space="preserve">: </w:t>
      </w:r>
      <w:r w:rsidRPr="0096792B">
        <w:rPr>
          <w:rFonts w:ascii="Times New Roman" w:eastAsia="Times New Roman" w:hAnsi="Times New Roman" w:cs="Times New Roman"/>
          <w:bCs/>
          <w:sz w:val="24"/>
          <w:szCs w:val="24"/>
          <w:lang w:val="en-US"/>
        </w:rPr>
        <w:t>Technology Innovation</w:t>
      </w:r>
      <w:r w:rsidR="00CE3E24" w:rsidRPr="0096792B">
        <w:rPr>
          <w:rFonts w:ascii="Times New Roman" w:eastAsia="Times New Roman" w:hAnsi="Times New Roman" w:cs="Times New Roman"/>
          <w:bCs/>
          <w:sz w:val="24"/>
          <w:szCs w:val="24"/>
          <w:lang w:val="en-US"/>
        </w:rPr>
        <w:t xml:space="preserve">; </w:t>
      </w:r>
      <w:r w:rsidRPr="0096792B">
        <w:rPr>
          <w:rFonts w:ascii="Times New Roman" w:eastAsia="Times New Roman" w:hAnsi="Times New Roman" w:cs="Times New Roman"/>
          <w:bCs/>
          <w:sz w:val="24"/>
          <w:szCs w:val="24"/>
          <w:lang w:val="en-US"/>
        </w:rPr>
        <w:t xml:space="preserve">Organizational Innovation; </w:t>
      </w:r>
      <w:r w:rsidR="00DC712C" w:rsidRPr="0096792B">
        <w:rPr>
          <w:rFonts w:ascii="Times New Roman" w:eastAsia="Times New Roman" w:hAnsi="Times New Roman" w:cs="Times New Roman"/>
          <w:bCs/>
          <w:sz w:val="24"/>
          <w:szCs w:val="24"/>
          <w:lang w:val="en-US"/>
        </w:rPr>
        <w:t xml:space="preserve">Information Technology Industry; </w:t>
      </w:r>
      <w:r w:rsidRPr="0096792B">
        <w:rPr>
          <w:rFonts w:ascii="Times New Roman" w:eastAsia="Times New Roman" w:hAnsi="Times New Roman" w:cs="Times New Roman"/>
          <w:bCs/>
          <w:sz w:val="24"/>
          <w:szCs w:val="24"/>
          <w:lang w:val="en-US"/>
        </w:rPr>
        <w:t xml:space="preserve">Knowledge Intensive Services; </w:t>
      </w:r>
      <w:r w:rsidR="00CE3E24" w:rsidRPr="0096792B">
        <w:rPr>
          <w:rFonts w:ascii="Times New Roman" w:eastAsia="Times New Roman" w:hAnsi="Times New Roman" w:cs="Times New Roman"/>
          <w:bCs/>
          <w:sz w:val="24"/>
          <w:szCs w:val="24"/>
          <w:lang w:val="en-US"/>
        </w:rPr>
        <w:t>Minas Gerais.</w:t>
      </w:r>
    </w:p>
    <w:p w:rsidR="00F9283B" w:rsidRPr="00BB3D79" w:rsidRDefault="00BB3D79" w:rsidP="0096792B">
      <w:pPr>
        <w:widowControl w:val="0"/>
        <w:spacing w:after="240" w:line="480" w:lineRule="auto"/>
        <w:rPr>
          <w:rFonts w:ascii="Times New Roman" w:eastAsia="Times New Roman" w:hAnsi="Times New Roman" w:cs="Times New Roman"/>
          <w:bCs/>
          <w:sz w:val="24"/>
          <w:szCs w:val="24"/>
        </w:rPr>
      </w:pPr>
      <w:r w:rsidRPr="00BB3D79">
        <w:rPr>
          <w:rFonts w:ascii="Times New Roman" w:eastAsia="Times New Roman" w:hAnsi="Times New Roman" w:cs="Times New Roman"/>
          <w:b/>
          <w:bCs/>
          <w:sz w:val="24"/>
          <w:szCs w:val="24"/>
        </w:rPr>
        <w:t xml:space="preserve">Agradecimentos: </w:t>
      </w:r>
      <w:r w:rsidRPr="00BB3D79">
        <w:rPr>
          <w:rFonts w:ascii="Times New Roman" w:eastAsia="Times New Roman" w:hAnsi="Times New Roman" w:cs="Times New Roman"/>
          <w:bCs/>
          <w:sz w:val="24"/>
          <w:szCs w:val="24"/>
        </w:rPr>
        <w:t>Conselho Nacional de Desenvolvimento Científico e Tecnológico</w:t>
      </w:r>
      <w:r>
        <w:rPr>
          <w:rFonts w:ascii="Times New Roman" w:eastAsia="Times New Roman" w:hAnsi="Times New Roman" w:cs="Times New Roman"/>
          <w:bCs/>
          <w:sz w:val="24"/>
          <w:szCs w:val="24"/>
        </w:rPr>
        <w:t xml:space="preserve"> e Fundação </w:t>
      </w:r>
      <w:r w:rsidRPr="00BB3D79">
        <w:rPr>
          <w:rFonts w:ascii="Times New Roman" w:eastAsia="Times New Roman" w:hAnsi="Times New Roman" w:cs="Times New Roman"/>
          <w:bCs/>
          <w:sz w:val="24"/>
          <w:szCs w:val="24"/>
        </w:rPr>
        <w:t xml:space="preserve">de Amparo à Pesquisa do Estado de Minas Gerais </w:t>
      </w:r>
      <w:r>
        <w:rPr>
          <w:rFonts w:ascii="Times New Roman" w:eastAsia="Times New Roman" w:hAnsi="Times New Roman" w:cs="Times New Roman"/>
          <w:bCs/>
          <w:sz w:val="24"/>
          <w:szCs w:val="24"/>
        </w:rPr>
        <w:t>(Projeto APQ-03078-15).</w:t>
      </w:r>
    </w:p>
    <w:p w:rsidR="007B3D02" w:rsidRPr="0096792B" w:rsidRDefault="007B3D02" w:rsidP="0096792B">
      <w:pPr>
        <w:pStyle w:val="Ttulo1"/>
        <w:keepNext w:val="0"/>
        <w:keepLines w:val="0"/>
        <w:widowControl w:val="0"/>
        <w:spacing w:after="240" w:line="480" w:lineRule="auto"/>
        <w:rPr>
          <w:lang w:val="pt-BR"/>
        </w:rPr>
      </w:pPr>
      <w:r w:rsidRPr="0096792B">
        <w:rPr>
          <w:caps w:val="0"/>
          <w:lang w:val="pt-BR"/>
        </w:rPr>
        <w:t>1. Introdução</w:t>
      </w:r>
    </w:p>
    <w:p w:rsidR="007B3D02" w:rsidRPr="0096792B" w:rsidRDefault="007B3D02" w:rsidP="0096792B">
      <w:pPr>
        <w:widowControl w:val="0"/>
        <w:spacing w:after="240" w:line="480" w:lineRule="auto"/>
        <w:ind w:firstLine="708"/>
        <w:rPr>
          <w:rFonts w:ascii="Times New Roman" w:eastAsia="Times New Roman" w:hAnsi="Times New Roman" w:cs="Times New Roman"/>
          <w:sz w:val="24"/>
          <w:szCs w:val="24"/>
        </w:rPr>
      </w:pPr>
      <w:r w:rsidRPr="0096792B">
        <w:rPr>
          <w:rFonts w:ascii="Times New Roman" w:eastAsia="Times New Roman" w:hAnsi="Times New Roman" w:cs="Times New Roman"/>
          <w:sz w:val="24"/>
          <w:szCs w:val="24"/>
        </w:rPr>
        <w:t>A inovação tem sido estudada em diversas áreas do conhecimento devido à sua importância como mecanismo essencial ao desenvolvimento econômico (</w:t>
      </w:r>
      <w:r w:rsidR="00BF66D5" w:rsidRPr="0096792B">
        <w:rPr>
          <w:rFonts w:ascii="Times New Roman" w:eastAsia="Times New Roman" w:hAnsi="Times New Roman" w:cs="Times New Roman"/>
          <w:sz w:val="24"/>
          <w:szCs w:val="24"/>
        </w:rPr>
        <w:t>FREEMAN; PEREZ</w:t>
      </w:r>
      <w:r w:rsidRPr="0096792B">
        <w:rPr>
          <w:rFonts w:ascii="Times New Roman" w:eastAsia="Times New Roman" w:hAnsi="Times New Roman" w:cs="Times New Roman"/>
          <w:sz w:val="24"/>
          <w:szCs w:val="24"/>
        </w:rPr>
        <w:t xml:space="preserve">, 1988; </w:t>
      </w:r>
      <w:r w:rsidR="00BF66D5" w:rsidRPr="0096792B">
        <w:rPr>
          <w:rFonts w:ascii="Times New Roman" w:eastAsia="Times New Roman" w:hAnsi="Times New Roman" w:cs="Times New Roman"/>
          <w:sz w:val="24"/>
          <w:szCs w:val="24"/>
        </w:rPr>
        <w:t>SCHUMPETER</w:t>
      </w:r>
      <w:r w:rsidRPr="0096792B">
        <w:rPr>
          <w:rFonts w:ascii="Times New Roman" w:eastAsia="Times New Roman" w:hAnsi="Times New Roman" w:cs="Times New Roman"/>
          <w:sz w:val="24"/>
          <w:szCs w:val="24"/>
        </w:rPr>
        <w:t>, 1997[1964]) e social (</w:t>
      </w:r>
      <w:r w:rsidR="00BF66D5" w:rsidRPr="0096792B">
        <w:rPr>
          <w:rFonts w:ascii="Times New Roman" w:eastAsia="Times New Roman" w:hAnsi="Times New Roman" w:cs="Times New Roman"/>
          <w:sz w:val="24"/>
          <w:szCs w:val="24"/>
        </w:rPr>
        <w:t xml:space="preserve">FRANZ </w:t>
      </w:r>
      <w:r w:rsidR="00F80B6F" w:rsidRPr="0096792B">
        <w:rPr>
          <w:rFonts w:ascii="Times New Roman" w:hAnsi="Times New Roman" w:cs="Times New Roman"/>
          <w:i/>
          <w:noProof/>
          <w:sz w:val="24"/>
          <w:szCs w:val="24"/>
        </w:rPr>
        <w:t>et al.</w:t>
      </w:r>
      <w:r w:rsidRPr="0096792B">
        <w:rPr>
          <w:rFonts w:ascii="Times New Roman" w:eastAsia="Times New Roman" w:hAnsi="Times New Roman" w:cs="Times New Roman"/>
          <w:sz w:val="24"/>
          <w:szCs w:val="24"/>
        </w:rPr>
        <w:t xml:space="preserve">, 2012). </w:t>
      </w:r>
      <w:r w:rsidR="005F0FD5">
        <w:rPr>
          <w:rFonts w:ascii="Times New Roman" w:eastAsia="Times New Roman" w:hAnsi="Times New Roman" w:cs="Times New Roman"/>
          <w:sz w:val="24"/>
          <w:szCs w:val="24"/>
        </w:rPr>
        <w:t>Diferentes</w:t>
      </w:r>
      <w:r w:rsidR="005F0FD5" w:rsidRPr="0096792B">
        <w:rPr>
          <w:rFonts w:ascii="Times New Roman" w:eastAsia="Times New Roman" w:hAnsi="Times New Roman" w:cs="Times New Roman"/>
          <w:sz w:val="24"/>
          <w:szCs w:val="24"/>
        </w:rPr>
        <w:t xml:space="preserve"> </w:t>
      </w:r>
      <w:r w:rsidRPr="0096792B">
        <w:rPr>
          <w:rFonts w:ascii="Times New Roman" w:eastAsia="Times New Roman" w:hAnsi="Times New Roman" w:cs="Times New Roman"/>
          <w:sz w:val="24"/>
          <w:szCs w:val="24"/>
        </w:rPr>
        <w:t xml:space="preserve">autores, inclusive os chamados clássicos da inovação nas áreas de Economia e Gestão, continuam a explorar e expandir os olhares teóricos sobre esse tópico de pesquisa, como se percebe nos trabalhos recentes de </w:t>
      </w:r>
      <w:r w:rsidR="004600F2" w:rsidRPr="0096792B">
        <w:rPr>
          <w:rFonts w:ascii="Times New Roman" w:eastAsia="Times New Roman" w:hAnsi="Times New Roman" w:cs="Times New Roman"/>
          <w:sz w:val="24"/>
          <w:szCs w:val="24"/>
        </w:rPr>
        <w:t>Burgelman</w:t>
      </w:r>
      <w:r w:rsidR="00092E33" w:rsidRPr="0096792B">
        <w:rPr>
          <w:rFonts w:ascii="Times New Roman" w:eastAsia="Times New Roman" w:hAnsi="Times New Roman" w:cs="Times New Roman"/>
          <w:sz w:val="24"/>
          <w:szCs w:val="24"/>
        </w:rPr>
        <w:t xml:space="preserve"> </w:t>
      </w:r>
      <w:r w:rsidR="00F80B6F" w:rsidRPr="0096792B">
        <w:rPr>
          <w:rFonts w:ascii="Times New Roman" w:eastAsia="Times New Roman" w:hAnsi="Times New Roman" w:cs="Times New Roman"/>
          <w:i/>
          <w:sz w:val="24"/>
          <w:szCs w:val="24"/>
        </w:rPr>
        <w:t>et al.</w:t>
      </w:r>
      <w:r w:rsidR="00092E33" w:rsidRPr="0096792B">
        <w:rPr>
          <w:rFonts w:ascii="Times New Roman" w:eastAsia="Times New Roman" w:hAnsi="Times New Roman" w:cs="Times New Roman"/>
          <w:sz w:val="24"/>
          <w:szCs w:val="24"/>
        </w:rPr>
        <w:t xml:space="preserve"> </w:t>
      </w:r>
      <w:r w:rsidR="004600F2" w:rsidRPr="0096792B">
        <w:rPr>
          <w:rFonts w:ascii="Times New Roman" w:eastAsia="Times New Roman" w:hAnsi="Times New Roman" w:cs="Times New Roman"/>
          <w:sz w:val="24"/>
          <w:szCs w:val="24"/>
        </w:rPr>
        <w:t xml:space="preserve">(2012), </w:t>
      </w:r>
      <w:r w:rsidR="002470CB" w:rsidRPr="0096792B">
        <w:rPr>
          <w:rFonts w:ascii="Times New Roman" w:eastAsia="Times New Roman" w:hAnsi="Times New Roman" w:cs="Times New Roman"/>
          <w:sz w:val="24"/>
          <w:szCs w:val="24"/>
        </w:rPr>
        <w:t>Fagerberg</w:t>
      </w:r>
      <w:r w:rsidR="0043414E" w:rsidRPr="0096792B">
        <w:rPr>
          <w:rFonts w:ascii="Times New Roman" w:eastAsia="Times New Roman" w:hAnsi="Times New Roman" w:cs="Times New Roman"/>
          <w:sz w:val="24"/>
          <w:szCs w:val="24"/>
        </w:rPr>
        <w:t xml:space="preserve"> </w:t>
      </w:r>
      <w:r w:rsidR="0043414E" w:rsidRPr="0096792B">
        <w:rPr>
          <w:rFonts w:ascii="Times New Roman" w:eastAsia="Times New Roman" w:hAnsi="Times New Roman" w:cs="Times New Roman"/>
          <w:i/>
          <w:sz w:val="24"/>
          <w:szCs w:val="24"/>
        </w:rPr>
        <w:t>et al.</w:t>
      </w:r>
      <w:r w:rsidR="002470CB" w:rsidRPr="0096792B">
        <w:rPr>
          <w:rFonts w:ascii="Times New Roman" w:eastAsia="Times New Roman" w:hAnsi="Times New Roman" w:cs="Times New Roman"/>
          <w:sz w:val="24"/>
          <w:szCs w:val="24"/>
        </w:rPr>
        <w:t xml:space="preserve"> (2013)</w:t>
      </w:r>
      <w:r w:rsidR="007D2862" w:rsidRPr="0096792B">
        <w:rPr>
          <w:rFonts w:ascii="Times New Roman" w:eastAsia="Times New Roman" w:hAnsi="Times New Roman" w:cs="Times New Roman"/>
          <w:sz w:val="24"/>
          <w:szCs w:val="24"/>
        </w:rPr>
        <w:t xml:space="preserve"> e</w:t>
      </w:r>
      <w:r w:rsidR="002470CB" w:rsidRPr="0096792B">
        <w:rPr>
          <w:rFonts w:ascii="Times New Roman" w:eastAsia="Times New Roman" w:hAnsi="Times New Roman" w:cs="Times New Roman"/>
          <w:sz w:val="24"/>
          <w:szCs w:val="24"/>
        </w:rPr>
        <w:t xml:space="preserve"> Dodgson</w:t>
      </w:r>
      <w:r w:rsidR="00A509AF" w:rsidRPr="0096792B">
        <w:rPr>
          <w:rFonts w:ascii="Times New Roman" w:eastAsia="Times New Roman" w:hAnsi="Times New Roman" w:cs="Times New Roman"/>
          <w:sz w:val="24"/>
          <w:szCs w:val="24"/>
        </w:rPr>
        <w:t xml:space="preserve"> </w:t>
      </w:r>
      <w:r w:rsidR="00A509AF" w:rsidRPr="0096792B">
        <w:rPr>
          <w:rFonts w:ascii="Times New Roman" w:eastAsia="Times New Roman" w:hAnsi="Times New Roman" w:cs="Times New Roman"/>
          <w:i/>
          <w:sz w:val="24"/>
          <w:szCs w:val="24"/>
        </w:rPr>
        <w:t>et al.</w:t>
      </w:r>
      <w:r w:rsidR="00A509AF" w:rsidRPr="0096792B">
        <w:rPr>
          <w:rFonts w:ascii="Times New Roman" w:eastAsia="Times New Roman" w:hAnsi="Times New Roman" w:cs="Times New Roman"/>
          <w:sz w:val="24"/>
          <w:szCs w:val="24"/>
        </w:rPr>
        <w:t xml:space="preserve"> </w:t>
      </w:r>
      <w:r w:rsidR="002470CB" w:rsidRPr="0096792B">
        <w:rPr>
          <w:rFonts w:ascii="Times New Roman" w:eastAsia="Times New Roman" w:hAnsi="Times New Roman" w:cs="Times New Roman"/>
          <w:sz w:val="24"/>
          <w:szCs w:val="24"/>
        </w:rPr>
        <w:t>(2014)</w:t>
      </w:r>
      <w:r w:rsidR="004600F2" w:rsidRPr="0096792B">
        <w:rPr>
          <w:rFonts w:ascii="Times New Roman" w:eastAsia="Times New Roman" w:hAnsi="Times New Roman" w:cs="Times New Roman"/>
          <w:sz w:val="24"/>
          <w:szCs w:val="24"/>
        </w:rPr>
        <w:t>.</w:t>
      </w:r>
    </w:p>
    <w:p w:rsidR="008865B4" w:rsidRPr="0096792B" w:rsidRDefault="007B3D02" w:rsidP="001F44C9">
      <w:pPr>
        <w:widowControl w:val="0"/>
        <w:spacing w:after="240" w:line="480" w:lineRule="auto"/>
        <w:ind w:firstLine="708"/>
        <w:rPr>
          <w:rFonts w:ascii="Times New Roman" w:hAnsi="Times New Roman" w:cs="Times New Roman"/>
          <w:sz w:val="24"/>
          <w:szCs w:val="24"/>
          <w:shd w:val="clear" w:color="auto" w:fill="FFFFFF"/>
        </w:rPr>
      </w:pPr>
      <w:r w:rsidRPr="0096792B">
        <w:rPr>
          <w:rFonts w:ascii="Times New Roman" w:eastAsia="Times New Roman" w:hAnsi="Times New Roman" w:cs="Times New Roman"/>
          <w:sz w:val="24"/>
          <w:szCs w:val="24"/>
        </w:rPr>
        <w:t xml:space="preserve">A partir dos apontamentos dessas publicações e de outros estudos – tais como Hipp e Grupp (2005); Miles (2005); Evangelista (2006); Tether e Tajar (2008); Mothe e Thi (2012) – é crescente </w:t>
      </w:r>
      <w:r w:rsidR="00375612" w:rsidRPr="0096792B">
        <w:rPr>
          <w:rFonts w:ascii="Times New Roman" w:eastAsia="Times New Roman" w:hAnsi="Times New Roman" w:cs="Times New Roman"/>
          <w:sz w:val="24"/>
          <w:szCs w:val="24"/>
        </w:rPr>
        <w:t xml:space="preserve">o </w:t>
      </w:r>
      <w:r w:rsidRPr="0096792B">
        <w:rPr>
          <w:rFonts w:ascii="Times New Roman" w:eastAsia="Times New Roman" w:hAnsi="Times New Roman" w:cs="Times New Roman"/>
          <w:sz w:val="24"/>
          <w:szCs w:val="24"/>
        </w:rPr>
        <w:t xml:space="preserve">interesse em analisar inovações que vão além da tecnologia e que ocorrem em setores diferentes dos tradicionalmente analisados. No contexto brasileiro, já é possível perceber levantamentos que apontam </w:t>
      </w:r>
      <w:r w:rsidR="004600F2" w:rsidRPr="0096792B">
        <w:rPr>
          <w:rFonts w:ascii="Times New Roman" w:eastAsia="Times New Roman" w:hAnsi="Times New Roman" w:cs="Times New Roman"/>
          <w:sz w:val="24"/>
          <w:szCs w:val="24"/>
        </w:rPr>
        <w:t xml:space="preserve">para </w:t>
      </w:r>
      <w:r w:rsidR="00F8107F" w:rsidRPr="0096792B">
        <w:rPr>
          <w:rFonts w:ascii="Times New Roman" w:eastAsia="Times New Roman" w:hAnsi="Times New Roman" w:cs="Times New Roman"/>
          <w:sz w:val="24"/>
          <w:szCs w:val="24"/>
        </w:rPr>
        <w:t>esse sentido</w:t>
      </w:r>
      <w:r w:rsidR="007D6767">
        <w:rPr>
          <w:rFonts w:ascii="Times New Roman" w:eastAsia="Times New Roman" w:hAnsi="Times New Roman" w:cs="Times New Roman"/>
          <w:sz w:val="24"/>
          <w:szCs w:val="24"/>
        </w:rPr>
        <w:t>: o</w:t>
      </w:r>
      <w:r w:rsidR="00E87BF3">
        <w:rPr>
          <w:rFonts w:ascii="Times New Roman" w:eastAsia="Times New Roman" w:hAnsi="Times New Roman" w:cs="Times New Roman"/>
          <w:sz w:val="24"/>
          <w:szCs w:val="24"/>
        </w:rPr>
        <w:t>s</w:t>
      </w:r>
      <w:r w:rsidR="00F8107F" w:rsidRPr="0096792B">
        <w:rPr>
          <w:rFonts w:ascii="Times New Roman" w:eastAsia="Times New Roman" w:hAnsi="Times New Roman" w:cs="Times New Roman"/>
          <w:sz w:val="24"/>
          <w:szCs w:val="24"/>
        </w:rPr>
        <w:t xml:space="preserve"> resultados da última edição da </w:t>
      </w:r>
      <w:r w:rsidR="001F44C9">
        <w:rPr>
          <w:rFonts w:ascii="Times New Roman" w:eastAsia="Times New Roman" w:hAnsi="Times New Roman" w:cs="Times New Roman"/>
          <w:sz w:val="24"/>
          <w:szCs w:val="24"/>
        </w:rPr>
        <w:lastRenderedPageBreak/>
        <w:t xml:space="preserve">PINTEC – </w:t>
      </w:r>
      <w:r w:rsidR="00F8107F" w:rsidRPr="0096792B">
        <w:rPr>
          <w:rFonts w:ascii="Times New Roman" w:eastAsia="Times New Roman" w:hAnsi="Times New Roman" w:cs="Times New Roman"/>
          <w:sz w:val="24"/>
          <w:szCs w:val="24"/>
        </w:rPr>
        <w:t>Pesquisa de Inovação (</w:t>
      </w:r>
      <w:r w:rsidR="001F44C9">
        <w:rPr>
          <w:rFonts w:ascii="Times New Roman" w:eastAsia="Times New Roman" w:hAnsi="Times New Roman" w:cs="Times New Roman"/>
          <w:sz w:val="24"/>
          <w:szCs w:val="24"/>
        </w:rPr>
        <w:t>IBGE, 2016</w:t>
      </w:r>
      <w:r w:rsidR="00F8107F" w:rsidRPr="0096792B">
        <w:rPr>
          <w:rFonts w:ascii="Times New Roman" w:eastAsia="Times New Roman" w:hAnsi="Times New Roman" w:cs="Times New Roman"/>
          <w:sz w:val="24"/>
          <w:szCs w:val="24"/>
        </w:rPr>
        <w:t>)</w:t>
      </w:r>
      <w:r w:rsidR="00E87BF3">
        <w:rPr>
          <w:rFonts w:ascii="Times New Roman" w:eastAsia="Times New Roman" w:hAnsi="Times New Roman" w:cs="Times New Roman"/>
          <w:sz w:val="24"/>
          <w:szCs w:val="24"/>
        </w:rPr>
        <w:t xml:space="preserve"> mostram que</w:t>
      </w:r>
      <w:r w:rsidR="001F44C9">
        <w:rPr>
          <w:rFonts w:ascii="Times New Roman" w:eastAsia="Times New Roman" w:hAnsi="Times New Roman" w:cs="Times New Roman"/>
          <w:sz w:val="24"/>
          <w:szCs w:val="24"/>
        </w:rPr>
        <w:t>,</w:t>
      </w:r>
      <w:r w:rsidR="00E87BF3">
        <w:rPr>
          <w:rFonts w:ascii="Times New Roman" w:eastAsia="Times New Roman" w:hAnsi="Times New Roman" w:cs="Times New Roman"/>
          <w:sz w:val="24"/>
          <w:szCs w:val="24"/>
        </w:rPr>
        <w:t xml:space="preserve"> </w:t>
      </w:r>
      <w:r w:rsidR="001F44C9">
        <w:rPr>
          <w:rFonts w:ascii="Times New Roman" w:eastAsia="Times New Roman" w:hAnsi="Times New Roman" w:cs="Times New Roman"/>
          <w:sz w:val="24"/>
          <w:szCs w:val="24"/>
        </w:rPr>
        <w:t>n</w:t>
      </w:r>
      <w:r w:rsidR="007A5DEF">
        <w:rPr>
          <w:rFonts w:ascii="Times New Roman" w:eastAsia="Times New Roman" w:hAnsi="Times New Roman" w:cs="Times New Roman"/>
          <w:sz w:val="24"/>
          <w:szCs w:val="24"/>
        </w:rPr>
        <w:t>os setores de Tecnologia da Informação</w:t>
      </w:r>
      <w:r w:rsidR="00FE1553">
        <w:rPr>
          <w:rFonts w:ascii="Times New Roman" w:eastAsia="Times New Roman" w:hAnsi="Times New Roman" w:cs="Times New Roman"/>
          <w:sz w:val="24"/>
          <w:szCs w:val="24"/>
        </w:rPr>
        <w:t xml:space="preserve"> (TI)</w:t>
      </w:r>
      <w:r w:rsidR="007A5DEF">
        <w:rPr>
          <w:rFonts w:ascii="Times New Roman" w:eastAsia="Times New Roman" w:hAnsi="Times New Roman" w:cs="Times New Roman"/>
          <w:sz w:val="24"/>
          <w:szCs w:val="24"/>
        </w:rPr>
        <w:t xml:space="preserve"> selecionados</w:t>
      </w:r>
      <w:r w:rsidR="001F44C9">
        <w:rPr>
          <w:rFonts w:ascii="Times New Roman" w:eastAsia="Times New Roman" w:hAnsi="Times New Roman" w:cs="Times New Roman"/>
          <w:sz w:val="24"/>
          <w:szCs w:val="24"/>
        </w:rPr>
        <w:t>,</w:t>
      </w:r>
      <w:r w:rsidR="008865B4">
        <w:rPr>
          <w:rFonts w:ascii="Times New Roman" w:eastAsia="Times New Roman" w:hAnsi="Times New Roman" w:cs="Times New Roman"/>
          <w:sz w:val="24"/>
          <w:szCs w:val="24"/>
        </w:rPr>
        <w:t xml:space="preserve"> </w:t>
      </w:r>
      <w:r w:rsidR="001F44C9">
        <w:rPr>
          <w:rFonts w:ascii="Times New Roman" w:eastAsia="Times New Roman" w:hAnsi="Times New Roman" w:cs="Times New Roman"/>
          <w:sz w:val="24"/>
          <w:szCs w:val="24"/>
        </w:rPr>
        <w:t xml:space="preserve">o </w:t>
      </w:r>
      <w:r w:rsidR="008865B4" w:rsidRPr="0096792B">
        <w:rPr>
          <w:rFonts w:ascii="Times New Roman" w:hAnsi="Times New Roman" w:cs="Times New Roman"/>
          <w:sz w:val="24"/>
          <w:szCs w:val="24"/>
          <w:shd w:val="clear" w:color="auto" w:fill="FFFFFF"/>
        </w:rPr>
        <w:t xml:space="preserve">percentual de empresas </w:t>
      </w:r>
      <w:r w:rsidR="009F2F30">
        <w:rPr>
          <w:rFonts w:ascii="Times New Roman" w:hAnsi="Times New Roman" w:cs="Times New Roman"/>
          <w:sz w:val="24"/>
          <w:szCs w:val="24"/>
          <w:shd w:val="clear" w:color="auto" w:fill="FFFFFF"/>
        </w:rPr>
        <w:t xml:space="preserve">que inovaram </w:t>
      </w:r>
      <w:r w:rsidR="008865B4" w:rsidRPr="0096792B">
        <w:rPr>
          <w:rFonts w:ascii="Times New Roman" w:hAnsi="Times New Roman" w:cs="Times New Roman"/>
          <w:sz w:val="24"/>
          <w:szCs w:val="24"/>
          <w:shd w:val="clear" w:color="auto" w:fill="FFFFFF"/>
        </w:rPr>
        <w:t xml:space="preserve">em produto e/ou processo </w:t>
      </w:r>
      <w:r w:rsidR="009F2F30">
        <w:rPr>
          <w:rFonts w:ascii="Times New Roman" w:hAnsi="Times New Roman" w:cs="Times New Roman"/>
          <w:sz w:val="24"/>
          <w:szCs w:val="24"/>
          <w:shd w:val="clear" w:color="auto" w:fill="FFFFFF"/>
        </w:rPr>
        <w:t xml:space="preserve">entre 2012 e 2014 </w:t>
      </w:r>
      <w:r w:rsidR="00FE1553">
        <w:rPr>
          <w:rFonts w:ascii="Times New Roman" w:hAnsi="Times New Roman" w:cs="Times New Roman"/>
          <w:sz w:val="24"/>
          <w:szCs w:val="24"/>
          <w:shd w:val="clear" w:color="auto" w:fill="FFFFFF"/>
        </w:rPr>
        <w:t>foi</w:t>
      </w:r>
      <w:r w:rsidR="001F44C9">
        <w:rPr>
          <w:rFonts w:ascii="Times New Roman" w:hAnsi="Times New Roman" w:cs="Times New Roman"/>
          <w:sz w:val="24"/>
          <w:szCs w:val="24"/>
          <w:shd w:val="clear" w:color="auto" w:fill="FFFFFF"/>
        </w:rPr>
        <w:t xml:space="preserve"> </w:t>
      </w:r>
      <w:r w:rsidR="008865B4" w:rsidRPr="0096792B">
        <w:rPr>
          <w:rFonts w:ascii="Times New Roman" w:hAnsi="Times New Roman" w:cs="Times New Roman"/>
          <w:sz w:val="24"/>
          <w:szCs w:val="24"/>
          <w:shd w:val="clear" w:color="auto" w:fill="FFFFFF"/>
        </w:rPr>
        <w:t xml:space="preserve">acima da média </w:t>
      </w:r>
      <w:r w:rsidR="008865B4" w:rsidRPr="0020570E">
        <w:rPr>
          <w:rFonts w:ascii="Times New Roman" w:hAnsi="Times New Roman" w:cs="Times New Roman"/>
          <w:sz w:val="24"/>
          <w:szCs w:val="24"/>
          <w:shd w:val="clear" w:color="auto" w:fill="FFFFFF"/>
        </w:rPr>
        <w:t>dos</w:t>
      </w:r>
      <w:r w:rsidR="008865B4" w:rsidRPr="0096792B">
        <w:rPr>
          <w:rFonts w:ascii="Times New Roman" w:hAnsi="Times New Roman" w:cs="Times New Roman"/>
          <w:sz w:val="24"/>
          <w:szCs w:val="24"/>
          <w:shd w:val="clear" w:color="auto" w:fill="FFFFFF"/>
        </w:rPr>
        <w:t xml:space="preserve"> demais setores (</w:t>
      </w:r>
      <w:r w:rsidR="008865B4">
        <w:rPr>
          <w:rFonts w:ascii="Times New Roman" w:hAnsi="Times New Roman" w:cs="Times New Roman"/>
          <w:sz w:val="24"/>
          <w:szCs w:val="24"/>
          <w:shd w:val="clear" w:color="auto" w:fill="FFFFFF"/>
        </w:rPr>
        <w:t>46,3</w:t>
      </w:r>
      <w:r w:rsidR="008865B4" w:rsidRPr="0096792B">
        <w:rPr>
          <w:rFonts w:ascii="Times New Roman" w:hAnsi="Times New Roman" w:cs="Times New Roman"/>
          <w:sz w:val="24"/>
          <w:szCs w:val="24"/>
          <w:shd w:val="clear" w:color="auto" w:fill="FFFFFF"/>
        </w:rPr>
        <w:t xml:space="preserve">% inovaram). Além disso, a inovação organizacional </w:t>
      </w:r>
      <w:r w:rsidR="00FE1553">
        <w:rPr>
          <w:rFonts w:ascii="Times New Roman" w:hAnsi="Times New Roman" w:cs="Times New Roman"/>
          <w:sz w:val="24"/>
          <w:szCs w:val="24"/>
          <w:shd w:val="clear" w:color="auto" w:fill="FFFFFF"/>
        </w:rPr>
        <w:t>foi</w:t>
      </w:r>
      <w:r w:rsidR="008865B4" w:rsidRPr="0096792B">
        <w:rPr>
          <w:rFonts w:ascii="Times New Roman" w:hAnsi="Times New Roman" w:cs="Times New Roman"/>
          <w:sz w:val="24"/>
          <w:szCs w:val="24"/>
          <w:shd w:val="clear" w:color="auto" w:fill="FFFFFF"/>
        </w:rPr>
        <w:t xml:space="preserve"> muito frequente nesse</w:t>
      </w:r>
      <w:r w:rsidR="008865B4">
        <w:rPr>
          <w:rFonts w:ascii="Times New Roman" w:hAnsi="Times New Roman" w:cs="Times New Roman"/>
          <w:sz w:val="24"/>
          <w:szCs w:val="24"/>
          <w:shd w:val="clear" w:color="auto" w:fill="FFFFFF"/>
        </w:rPr>
        <w:t>s</w:t>
      </w:r>
      <w:r w:rsidR="008865B4" w:rsidRPr="0096792B">
        <w:rPr>
          <w:rFonts w:ascii="Times New Roman" w:hAnsi="Times New Roman" w:cs="Times New Roman"/>
          <w:sz w:val="24"/>
          <w:szCs w:val="24"/>
          <w:shd w:val="clear" w:color="auto" w:fill="FFFFFF"/>
        </w:rPr>
        <w:t xml:space="preserve"> setor</w:t>
      </w:r>
      <w:r w:rsidR="008865B4">
        <w:rPr>
          <w:rFonts w:ascii="Times New Roman" w:hAnsi="Times New Roman" w:cs="Times New Roman"/>
          <w:sz w:val="24"/>
          <w:szCs w:val="24"/>
          <w:shd w:val="clear" w:color="auto" w:fill="FFFFFF"/>
        </w:rPr>
        <w:t>es</w:t>
      </w:r>
      <w:r w:rsidR="009F2F30">
        <w:rPr>
          <w:rFonts w:ascii="Times New Roman" w:hAnsi="Times New Roman" w:cs="Times New Roman"/>
          <w:sz w:val="24"/>
          <w:szCs w:val="24"/>
          <w:shd w:val="clear" w:color="auto" w:fill="FFFFFF"/>
        </w:rPr>
        <w:t>, com destaque para mudanças significativas nos métodos de organização do trabalho (em 82,6% das empresas) e nas técnicas de gestão (75,7%)</w:t>
      </w:r>
      <w:r w:rsidR="008865B4" w:rsidRPr="0096792B">
        <w:rPr>
          <w:rFonts w:ascii="Times New Roman" w:hAnsi="Times New Roman" w:cs="Times New Roman"/>
          <w:sz w:val="24"/>
          <w:szCs w:val="24"/>
          <w:shd w:val="clear" w:color="auto" w:fill="FFFFFF"/>
        </w:rPr>
        <w:t xml:space="preserve">. Já sobre investimento, </w:t>
      </w:r>
      <w:r w:rsidR="00FE1553">
        <w:rPr>
          <w:rFonts w:ascii="Times New Roman" w:hAnsi="Times New Roman" w:cs="Times New Roman"/>
          <w:sz w:val="24"/>
          <w:szCs w:val="24"/>
          <w:shd w:val="clear" w:color="auto" w:fill="FFFFFF"/>
        </w:rPr>
        <w:t xml:space="preserve">as </w:t>
      </w:r>
      <w:r w:rsidR="008865B4" w:rsidRPr="0096792B">
        <w:rPr>
          <w:rFonts w:ascii="Times New Roman" w:hAnsi="Times New Roman" w:cs="Times New Roman"/>
          <w:sz w:val="24"/>
          <w:szCs w:val="24"/>
          <w:shd w:val="clear" w:color="auto" w:fill="FFFFFF"/>
        </w:rPr>
        <w:t xml:space="preserve">empresas de tecnologia da informação </w:t>
      </w:r>
      <w:r w:rsidR="00FE1553">
        <w:rPr>
          <w:rFonts w:ascii="Times New Roman" w:hAnsi="Times New Roman" w:cs="Times New Roman"/>
          <w:sz w:val="24"/>
          <w:szCs w:val="24"/>
          <w:shd w:val="clear" w:color="auto" w:fill="FFFFFF"/>
        </w:rPr>
        <w:t xml:space="preserve">pesquisadas </w:t>
      </w:r>
      <w:r w:rsidR="008865B4" w:rsidRPr="0096792B">
        <w:rPr>
          <w:rFonts w:ascii="Times New Roman" w:hAnsi="Times New Roman" w:cs="Times New Roman"/>
          <w:sz w:val="24"/>
          <w:szCs w:val="24"/>
          <w:shd w:val="clear" w:color="auto" w:fill="FFFFFF"/>
        </w:rPr>
        <w:t xml:space="preserve">investiram cerca de </w:t>
      </w:r>
      <w:r w:rsidR="009574D7">
        <w:rPr>
          <w:rFonts w:ascii="Times New Roman" w:hAnsi="Times New Roman" w:cs="Times New Roman"/>
          <w:sz w:val="24"/>
          <w:szCs w:val="24"/>
          <w:shd w:val="clear" w:color="auto" w:fill="FFFFFF"/>
        </w:rPr>
        <w:t>2</w:t>
      </w:r>
      <w:r w:rsidR="008865B4" w:rsidRPr="0096792B">
        <w:rPr>
          <w:rFonts w:ascii="Times New Roman" w:hAnsi="Times New Roman" w:cs="Times New Roman"/>
          <w:sz w:val="24"/>
          <w:szCs w:val="24"/>
          <w:shd w:val="clear" w:color="auto" w:fill="FFFFFF"/>
        </w:rPr>
        <w:t>,</w:t>
      </w:r>
      <w:r w:rsidR="009574D7">
        <w:rPr>
          <w:rFonts w:ascii="Times New Roman" w:hAnsi="Times New Roman" w:cs="Times New Roman"/>
          <w:sz w:val="24"/>
          <w:szCs w:val="24"/>
          <w:shd w:val="clear" w:color="auto" w:fill="FFFFFF"/>
        </w:rPr>
        <w:t>5</w:t>
      </w:r>
      <w:r w:rsidR="008865B4" w:rsidRPr="0096792B">
        <w:rPr>
          <w:rFonts w:ascii="Times New Roman" w:hAnsi="Times New Roman" w:cs="Times New Roman"/>
          <w:sz w:val="24"/>
          <w:szCs w:val="24"/>
          <w:shd w:val="clear" w:color="auto" w:fill="FFFFFF"/>
        </w:rPr>
        <w:t>% de seu orçamento em inovação.</w:t>
      </w:r>
    </w:p>
    <w:p w:rsidR="00170992" w:rsidRPr="0096792B" w:rsidRDefault="00D81D78" w:rsidP="0096792B">
      <w:pPr>
        <w:widowControl w:val="0"/>
        <w:spacing w:after="24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Essas taxas elevadas</w:t>
      </w:r>
      <w:r w:rsidR="001F44C9">
        <w:rPr>
          <w:rFonts w:ascii="Times New Roman" w:eastAsia="Times New Roman" w:hAnsi="Times New Roman" w:cs="Times New Roman"/>
          <w:sz w:val="24"/>
          <w:szCs w:val="24"/>
        </w:rPr>
        <w:t xml:space="preserve"> </w:t>
      </w:r>
      <w:r w:rsidR="000A097B">
        <w:rPr>
          <w:rFonts w:ascii="Times New Roman" w:eastAsia="Times New Roman" w:hAnsi="Times New Roman" w:cs="Times New Roman"/>
          <w:sz w:val="24"/>
          <w:szCs w:val="24"/>
        </w:rPr>
        <w:t>podem ser o</w:t>
      </w:r>
      <w:r w:rsidR="00C437EF">
        <w:rPr>
          <w:rFonts w:ascii="Times New Roman" w:eastAsia="Times New Roman" w:hAnsi="Times New Roman" w:cs="Times New Roman"/>
          <w:sz w:val="24"/>
          <w:szCs w:val="24"/>
        </w:rPr>
        <w:t xml:space="preserve"> resultado</w:t>
      </w:r>
      <w:r w:rsidR="00EF6D89">
        <w:rPr>
          <w:rFonts w:ascii="Times New Roman" w:eastAsia="Times New Roman" w:hAnsi="Times New Roman" w:cs="Times New Roman"/>
          <w:sz w:val="24"/>
          <w:szCs w:val="24"/>
        </w:rPr>
        <w:t xml:space="preserve"> de</w:t>
      </w:r>
      <w:r w:rsidR="001F44C9">
        <w:rPr>
          <w:rFonts w:ascii="Times New Roman" w:eastAsia="Times New Roman" w:hAnsi="Times New Roman" w:cs="Times New Roman"/>
          <w:sz w:val="24"/>
          <w:szCs w:val="24"/>
        </w:rPr>
        <w:t xml:space="preserve"> uma </w:t>
      </w:r>
      <w:r w:rsidR="001F44C9" w:rsidRPr="0096792B">
        <w:rPr>
          <w:rFonts w:ascii="Times New Roman" w:eastAsia="Times New Roman" w:hAnsi="Times New Roman" w:cs="Times New Roman"/>
          <w:sz w:val="24"/>
          <w:szCs w:val="24"/>
        </w:rPr>
        <w:t xml:space="preserve">dinâmica </w:t>
      </w:r>
      <w:r w:rsidR="001F44C9" w:rsidRPr="0096792B">
        <w:rPr>
          <w:rFonts w:ascii="Times New Roman" w:eastAsia="Times New Roman" w:hAnsi="Times New Roman" w:cs="Times New Roman"/>
          <w:i/>
          <w:sz w:val="24"/>
          <w:szCs w:val="24"/>
        </w:rPr>
        <w:t xml:space="preserve">sui generis </w:t>
      </w:r>
      <w:r w:rsidR="001F44C9">
        <w:rPr>
          <w:rFonts w:ascii="Times New Roman" w:eastAsia="Times New Roman" w:hAnsi="Times New Roman" w:cs="Times New Roman"/>
          <w:sz w:val="24"/>
          <w:szCs w:val="24"/>
        </w:rPr>
        <w:t xml:space="preserve">da inovação nos setores de TI. </w:t>
      </w:r>
      <w:r w:rsidR="007A5DEF">
        <w:rPr>
          <w:rFonts w:ascii="Times New Roman" w:eastAsia="Times New Roman" w:hAnsi="Times New Roman" w:cs="Times New Roman"/>
          <w:sz w:val="24"/>
          <w:szCs w:val="24"/>
        </w:rPr>
        <w:t xml:space="preserve">Sob o “guarda-chuva” dos </w:t>
      </w:r>
      <w:r w:rsidR="00F8107F" w:rsidRPr="0096792B">
        <w:rPr>
          <w:rFonts w:ascii="Times New Roman" w:eastAsia="Times New Roman" w:hAnsi="Times New Roman" w:cs="Times New Roman"/>
          <w:sz w:val="24"/>
          <w:szCs w:val="24"/>
        </w:rPr>
        <w:t>serviços intensivos em conhecimento (SICs</w:t>
      </w:r>
      <w:r w:rsidR="00170992" w:rsidRPr="0096792B">
        <w:rPr>
          <w:rFonts w:ascii="Times New Roman" w:eastAsia="Times New Roman" w:hAnsi="Times New Roman" w:cs="Times New Roman"/>
          <w:sz w:val="24"/>
          <w:szCs w:val="24"/>
        </w:rPr>
        <w:t>)</w:t>
      </w:r>
      <w:r w:rsidR="007A5DEF">
        <w:rPr>
          <w:rFonts w:ascii="Times New Roman" w:eastAsia="Times New Roman" w:hAnsi="Times New Roman" w:cs="Times New Roman"/>
          <w:sz w:val="24"/>
          <w:szCs w:val="24"/>
        </w:rPr>
        <w:t xml:space="preserve">, tais setores são considerados </w:t>
      </w:r>
      <w:r w:rsidR="00170992" w:rsidRPr="0096792B">
        <w:rPr>
          <w:rFonts w:ascii="Times New Roman" w:eastAsia="Times New Roman" w:hAnsi="Times New Roman" w:cs="Times New Roman"/>
          <w:sz w:val="24"/>
          <w:szCs w:val="24"/>
        </w:rPr>
        <w:t>geradores e difusores de conhecimento (</w:t>
      </w:r>
      <w:r w:rsidR="00BF66D5" w:rsidRPr="0096792B">
        <w:rPr>
          <w:rFonts w:ascii="Times New Roman" w:eastAsia="Times New Roman" w:hAnsi="Times New Roman" w:cs="Times New Roman"/>
          <w:sz w:val="24"/>
          <w:szCs w:val="24"/>
        </w:rPr>
        <w:t>NÄHLINDER</w:t>
      </w:r>
      <w:r w:rsidR="00170992" w:rsidRPr="0096792B">
        <w:rPr>
          <w:rFonts w:ascii="Times New Roman" w:eastAsia="Times New Roman" w:hAnsi="Times New Roman" w:cs="Times New Roman"/>
          <w:sz w:val="24"/>
          <w:szCs w:val="24"/>
        </w:rPr>
        <w:t>, 2005)</w:t>
      </w:r>
      <w:r w:rsidR="007A5DEF">
        <w:rPr>
          <w:rFonts w:ascii="Times New Roman" w:eastAsia="Times New Roman" w:hAnsi="Times New Roman" w:cs="Times New Roman"/>
          <w:sz w:val="24"/>
          <w:szCs w:val="24"/>
        </w:rPr>
        <w:t>,</w:t>
      </w:r>
      <w:r w:rsidR="00170992" w:rsidRPr="0096792B">
        <w:rPr>
          <w:rFonts w:ascii="Times New Roman" w:eastAsia="Times New Roman" w:hAnsi="Times New Roman" w:cs="Times New Roman"/>
          <w:sz w:val="24"/>
          <w:szCs w:val="24"/>
        </w:rPr>
        <w:t xml:space="preserve"> </w:t>
      </w:r>
      <w:r w:rsidR="007A5DEF">
        <w:rPr>
          <w:rFonts w:ascii="Times New Roman" w:hAnsi="Times New Roman" w:cs="Times New Roman"/>
          <w:sz w:val="24"/>
          <w:szCs w:val="24"/>
        </w:rPr>
        <w:t xml:space="preserve">produtores de novas tecnologias (MILES, 2005) e </w:t>
      </w:r>
      <w:r w:rsidR="00170992" w:rsidRPr="0096792B">
        <w:rPr>
          <w:rFonts w:ascii="Times New Roman" w:eastAsia="Times New Roman" w:hAnsi="Times New Roman" w:cs="Times New Roman"/>
          <w:sz w:val="24"/>
          <w:szCs w:val="24"/>
        </w:rPr>
        <w:t xml:space="preserve">centrais </w:t>
      </w:r>
      <w:r w:rsidR="007A5DEF">
        <w:rPr>
          <w:rFonts w:ascii="Times New Roman" w:eastAsia="Times New Roman" w:hAnsi="Times New Roman" w:cs="Times New Roman"/>
          <w:sz w:val="24"/>
          <w:szCs w:val="24"/>
        </w:rPr>
        <w:t>em uma</w:t>
      </w:r>
      <w:r w:rsidR="00170992" w:rsidRPr="0096792B">
        <w:rPr>
          <w:rFonts w:ascii="Times New Roman" w:eastAsia="Times New Roman" w:hAnsi="Times New Roman" w:cs="Times New Roman"/>
          <w:sz w:val="24"/>
          <w:szCs w:val="24"/>
        </w:rPr>
        <w:t xml:space="preserve"> economia baseada no conhecimento (OCDE, 2005b).</w:t>
      </w:r>
      <w:r w:rsidR="007A5DEF" w:rsidRPr="007A5DEF">
        <w:rPr>
          <w:rFonts w:ascii="Times New Roman" w:eastAsia="Times New Roman" w:hAnsi="Times New Roman" w:cs="Times New Roman"/>
          <w:sz w:val="24"/>
          <w:szCs w:val="24"/>
        </w:rPr>
        <w:t xml:space="preserve"> </w:t>
      </w:r>
      <w:r w:rsidR="00CA2271">
        <w:rPr>
          <w:rFonts w:ascii="Times New Roman" w:hAnsi="Times New Roman" w:cs="Times New Roman"/>
          <w:sz w:val="24"/>
          <w:szCs w:val="24"/>
        </w:rPr>
        <w:t>O</w:t>
      </w:r>
      <w:r w:rsidR="00170992" w:rsidRPr="0096792B">
        <w:rPr>
          <w:rFonts w:ascii="Times New Roman" w:hAnsi="Times New Roman" w:cs="Times New Roman"/>
          <w:sz w:val="24"/>
          <w:szCs w:val="24"/>
        </w:rPr>
        <w:t>rganizações desses setores são bastante ativas em inovação</w:t>
      </w:r>
      <w:r w:rsidR="00CA2271">
        <w:rPr>
          <w:rFonts w:ascii="Times New Roman" w:hAnsi="Times New Roman" w:cs="Times New Roman"/>
          <w:sz w:val="24"/>
          <w:szCs w:val="24"/>
        </w:rPr>
        <w:t xml:space="preserve"> tecnológica e organizacional</w:t>
      </w:r>
      <w:r w:rsidR="00170992" w:rsidRPr="0096792B">
        <w:rPr>
          <w:rFonts w:ascii="Times New Roman" w:hAnsi="Times New Roman" w:cs="Times New Roman"/>
          <w:sz w:val="24"/>
          <w:szCs w:val="24"/>
        </w:rPr>
        <w:t>, se comparadas às de outros setores da indústria ou mesmo de serviços (</w:t>
      </w:r>
      <w:r w:rsidR="00BF66D5" w:rsidRPr="0096792B">
        <w:rPr>
          <w:rFonts w:ascii="Times New Roman" w:hAnsi="Times New Roman" w:cs="Times New Roman"/>
          <w:sz w:val="24"/>
          <w:szCs w:val="24"/>
        </w:rPr>
        <w:t>TETHER; TAJAR</w:t>
      </w:r>
      <w:r w:rsidR="00170992" w:rsidRPr="0096792B">
        <w:rPr>
          <w:rFonts w:ascii="Times New Roman" w:hAnsi="Times New Roman" w:cs="Times New Roman"/>
          <w:sz w:val="24"/>
          <w:szCs w:val="24"/>
        </w:rPr>
        <w:t>, 2008).</w:t>
      </w:r>
    </w:p>
    <w:p w:rsidR="00170992" w:rsidRPr="0096792B" w:rsidRDefault="009048FE" w:rsidP="0096792B">
      <w:pPr>
        <w:widowControl w:val="0"/>
        <w:spacing w:after="240" w:line="480" w:lineRule="auto"/>
        <w:ind w:firstLine="708"/>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00170992" w:rsidRPr="0096792B">
        <w:rPr>
          <w:rFonts w:ascii="Times New Roman" w:eastAsia="Times New Roman" w:hAnsi="Times New Roman" w:cs="Times New Roman"/>
          <w:sz w:val="24"/>
          <w:szCs w:val="24"/>
        </w:rPr>
        <w:t xml:space="preserve">o ponto de vista teórico, muitos avanços foram feitos ao longo do tempo nas pesquisas sobre </w:t>
      </w:r>
      <w:r w:rsidR="00CA2271">
        <w:rPr>
          <w:rFonts w:ascii="Times New Roman" w:eastAsia="Times New Roman" w:hAnsi="Times New Roman" w:cs="Times New Roman"/>
          <w:sz w:val="24"/>
          <w:szCs w:val="24"/>
        </w:rPr>
        <w:t>SICs</w:t>
      </w:r>
      <w:r w:rsidR="00170992" w:rsidRPr="0096792B">
        <w:rPr>
          <w:rFonts w:ascii="Times New Roman" w:eastAsia="Times New Roman" w:hAnsi="Times New Roman" w:cs="Times New Roman"/>
          <w:sz w:val="24"/>
          <w:szCs w:val="24"/>
        </w:rPr>
        <w:t xml:space="preserve">, principalmente no que tange ao conceito de inovação e aos </w:t>
      </w:r>
      <w:r w:rsidR="00377267">
        <w:rPr>
          <w:rFonts w:ascii="Times New Roman" w:eastAsia="Times New Roman" w:hAnsi="Times New Roman" w:cs="Times New Roman"/>
          <w:sz w:val="24"/>
          <w:szCs w:val="24"/>
        </w:rPr>
        <w:t xml:space="preserve">aspectos </w:t>
      </w:r>
      <w:r w:rsidR="00170992" w:rsidRPr="0096792B">
        <w:rPr>
          <w:rFonts w:ascii="Times New Roman" w:eastAsia="Times New Roman" w:hAnsi="Times New Roman" w:cs="Times New Roman"/>
          <w:sz w:val="24"/>
          <w:szCs w:val="24"/>
        </w:rPr>
        <w:t xml:space="preserve">que sustentam as </w:t>
      </w:r>
      <w:r w:rsidR="00377267" w:rsidRPr="0096792B">
        <w:rPr>
          <w:rFonts w:ascii="Times New Roman" w:eastAsia="Times New Roman" w:hAnsi="Times New Roman" w:cs="Times New Roman"/>
          <w:sz w:val="24"/>
          <w:szCs w:val="24"/>
        </w:rPr>
        <w:t xml:space="preserve">atividades </w:t>
      </w:r>
      <w:r w:rsidR="00377267">
        <w:rPr>
          <w:rFonts w:ascii="Times New Roman" w:eastAsia="Times New Roman" w:hAnsi="Times New Roman" w:cs="Times New Roman"/>
          <w:sz w:val="24"/>
          <w:szCs w:val="24"/>
        </w:rPr>
        <w:t xml:space="preserve">e </w:t>
      </w:r>
      <w:r w:rsidR="00377267" w:rsidRPr="0096792B">
        <w:rPr>
          <w:rFonts w:ascii="Times New Roman" w:eastAsia="Times New Roman" w:hAnsi="Times New Roman" w:cs="Times New Roman"/>
          <w:sz w:val="24"/>
          <w:szCs w:val="24"/>
        </w:rPr>
        <w:t xml:space="preserve">processos </w:t>
      </w:r>
      <w:r w:rsidR="00377267">
        <w:rPr>
          <w:rFonts w:ascii="Times New Roman" w:eastAsia="Times New Roman" w:hAnsi="Times New Roman" w:cs="Times New Roman"/>
          <w:sz w:val="24"/>
          <w:szCs w:val="24"/>
        </w:rPr>
        <w:t>inovativos</w:t>
      </w:r>
      <w:r w:rsidR="00377267" w:rsidRPr="0096792B">
        <w:rPr>
          <w:rFonts w:ascii="Times New Roman" w:eastAsia="Times New Roman" w:hAnsi="Times New Roman" w:cs="Times New Roman"/>
          <w:sz w:val="24"/>
          <w:szCs w:val="24"/>
        </w:rPr>
        <w:t xml:space="preserve"> </w:t>
      </w:r>
      <w:r w:rsidR="00170992" w:rsidRPr="0096792B">
        <w:rPr>
          <w:rFonts w:ascii="Times New Roman" w:eastAsia="Times New Roman" w:hAnsi="Times New Roman" w:cs="Times New Roman"/>
          <w:sz w:val="24"/>
          <w:szCs w:val="24"/>
        </w:rPr>
        <w:t>nesses setores (</w:t>
      </w:r>
      <w:r w:rsidR="003C6F75" w:rsidRPr="0096792B">
        <w:rPr>
          <w:rFonts w:ascii="Times New Roman" w:hAnsi="Times New Roman" w:cs="Times New Roman"/>
          <w:sz w:val="24"/>
          <w:szCs w:val="24"/>
          <w:shd w:val="clear" w:color="auto" w:fill="FFFFFF"/>
        </w:rPr>
        <w:t>EVANGELISTA, 2006</w:t>
      </w:r>
      <w:r w:rsidR="003C6F75">
        <w:rPr>
          <w:rFonts w:ascii="Times New Roman" w:hAnsi="Times New Roman" w:cs="Times New Roman"/>
          <w:sz w:val="24"/>
          <w:szCs w:val="24"/>
          <w:shd w:val="clear" w:color="auto" w:fill="FFFFFF"/>
        </w:rPr>
        <w:t xml:space="preserve">; </w:t>
      </w:r>
      <w:r w:rsidR="00BF66D5" w:rsidRPr="0096792B">
        <w:rPr>
          <w:rFonts w:ascii="Times New Roman" w:eastAsia="Times New Roman" w:hAnsi="Times New Roman" w:cs="Times New Roman"/>
          <w:sz w:val="24"/>
          <w:szCs w:val="24"/>
        </w:rPr>
        <w:t>RESENDE JR.; GUIMARÃES, 2012</w:t>
      </w:r>
      <w:r w:rsidR="003C6F75">
        <w:rPr>
          <w:rFonts w:ascii="Times New Roman" w:eastAsia="Times New Roman" w:hAnsi="Times New Roman" w:cs="Times New Roman"/>
          <w:sz w:val="24"/>
          <w:szCs w:val="24"/>
        </w:rPr>
        <w:t>;</w:t>
      </w:r>
      <w:r w:rsidR="00BF66D5" w:rsidRPr="0096792B">
        <w:rPr>
          <w:rFonts w:ascii="Times New Roman" w:eastAsia="Times New Roman" w:hAnsi="Times New Roman" w:cs="Times New Roman"/>
          <w:sz w:val="24"/>
          <w:szCs w:val="24"/>
        </w:rPr>
        <w:t xml:space="preserve"> CALABRIA </w:t>
      </w:r>
      <w:r w:rsidR="00170992" w:rsidRPr="0096792B">
        <w:rPr>
          <w:rFonts w:ascii="Times New Roman" w:eastAsia="Times New Roman" w:hAnsi="Times New Roman" w:cs="Times New Roman"/>
          <w:i/>
          <w:sz w:val="24"/>
          <w:szCs w:val="24"/>
        </w:rPr>
        <w:t>et al.</w:t>
      </w:r>
      <w:r w:rsidR="00170992" w:rsidRPr="0096792B">
        <w:rPr>
          <w:rFonts w:ascii="Times New Roman" w:eastAsia="Times New Roman" w:hAnsi="Times New Roman" w:cs="Times New Roman"/>
          <w:sz w:val="24"/>
          <w:szCs w:val="24"/>
        </w:rPr>
        <w:t xml:space="preserve">, 2014). Contudo, uma vez que pesquisas nacionais e internacionais estão muito focadas nos </w:t>
      </w:r>
      <w:r w:rsidR="00170992" w:rsidRPr="0096792B">
        <w:rPr>
          <w:rFonts w:ascii="Times New Roman" w:eastAsia="Times New Roman" w:hAnsi="Times New Roman" w:cs="Times New Roman"/>
          <w:i/>
          <w:sz w:val="24"/>
          <w:szCs w:val="24"/>
        </w:rPr>
        <w:t xml:space="preserve">surveys </w:t>
      </w:r>
      <w:r w:rsidR="00170992" w:rsidRPr="0096792B">
        <w:rPr>
          <w:rFonts w:ascii="Times New Roman" w:eastAsia="Times New Roman" w:hAnsi="Times New Roman" w:cs="Times New Roman"/>
          <w:sz w:val="24"/>
          <w:szCs w:val="24"/>
        </w:rPr>
        <w:t xml:space="preserve">baseados no Manual de Oslo, os quais tendem a trazer uma análise ampla da inovação (OCDE, 2005a), </w:t>
      </w:r>
      <w:r w:rsidR="00170992" w:rsidRPr="000A6CDF">
        <w:rPr>
          <w:rFonts w:ascii="Times New Roman" w:eastAsia="Times New Roman" w:hAnsi="Times New Roman" w:cs="Times New Roman"/>
          <w:sz w:val="24"/>
          <w:szCs w:val="24"/>
        </w:rPr>
        <w:t>faltam evidências que permitam compreender a dinâmica da inovação nas organizações</w:t>
      </w:r>
      <w:r w:rsidR="00CA2271">
        <w:rPr>
          <w:rFonts w:ascii="Times New Roman" w:eastAsia="Times New Roman" w:hAnsi="Times New Roman" w:cs="Times New Roman"/>
          <w:sz w:val="24"/>
          <w:szCs w:val="24"/>
        </w:rPr>
        <w:t xml:space="preserve"> dos SICs de TI</w:t>
      </w:r>
      <w:r w:rsidR="00170992" w:rsidRPr="0096792B">
        <w:rPr>
          <w:rFonts w:ascii="Times New Roman" w:eastAsia="Times New Roman" w:hAnsi="Times New Roman" w:cs="Times New Roman"/>
          <w:sz w:val="24"/>
          <w:szCs w:val="24"/>
        </w:rPr>
        <w:t xml:space="preserve">. </w:t>
      </w:r>
    </w:p>
    <w:p w:rsidR="00A230B5" w:rsidRDefault="00170992" w:rsidP="00A230B5">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 xml:space="preserve">A análise da inovação </w:t>
      </w:r>
      <w:r w:rsidR="00FE1553">
        <w:rPr>
          <w:rFonts w:ascii="Times New Roman" w:hAnsi="Times New Roman" w:cs="Times New Roman"/>
          <w:sz w:val="24"/>
          <w:szCs w:val="24"/>
        </w:rPr>
        <w:t xml:space="preserve">nesses setores </w:t>
      </w:r>
      <w:r w:rsidRPr="0096792B">
        <w:rPr>
          <w:rFonts w:ascii="Times New Roman" w:hAnsi="Times New Roman" w:cs="Times New Roman"/>
          <w:sz w:val="24"/>
          <w:szCs w:val="24"/>
        </w:rPr>
        <w:t>deve explorar elementos organizacionais – como a organização, estrutura e gerenciamento da inovação (</w:t>
      </w:r>
      <w:r w:rsidR="00BF66D5" w:rsidRPr="0096792B">
        <w:rPr>
          <w:rFonts w:ascii="Times New Roman" w:hAnsi="Times New Roman" w:cs="Times New Roman"/>
          <w:sz w:val="24"/>
          <w:szCs w:val="24"/>
        </w:rPr>
        <w:t xml:space="preserve">BURGELMAN </w:t>
      </w:r>
      <w:r w:rsidRPr="0096792B">
        <w:rPr>
          <w:rFonts w:ascii="Times New Roman" w:hAnsi="Times New Roman" w:cs="Times New Roman"/>
          <w:i/>
          <w:sz w:val="24"/>
          <w:szCs w:val="24"/>
        </w:rPr>
        <w:t>et al.</w:t>
      </w:r>
      <w:r w:rsidRPr="0096792B">
        <w:rPr>
          <w:rFonts w:ascii="Times New Roman" w:hAnsi="Times New Roman" w:cs="Times New Roman"/>
          <w:sz w:val="24"/>
          <w:szCs w:val="24"/>
        </w:rPr>
        <w:t xml:space="preserve">, 2012; </w:t>
      </w:r>
      <w:r w:rsidR="00BF66D5" w:rsidRPr="0096792B">
        <w:rPr>
          <w:rFonts w:ascii="Times New Roman" w:hAnsi="Times New Roman" w:cs="Times New Roman"/>
          <w:sz w:val="24"/>
          <w:szCs w:val="24"/>
        </w:rPr>
        <w:t xml:space="preserve">TIDD; </w:t>
      </w:r>
      <w:r w:rsidR="00BF66D5" w:rsidRPr="0096792B">
        <w:rPr>
          <w:rFonts w:ascii="Times New Roman" w:hAnsi="Times New Roman" w:cs="Times New Roman"/>
          <w:sz w:val="24"/>
          <w:szCs w:val="24"/>
        </w:rPr>
        <w:lastRenderedPageBreak/>
        <w:t>BESSANT</w:t>
      </w:r>
      <w:r w:rsidRPr="0096792B">
        <w:rPr>
          <w:rFonts w:ascii="Times New Roman" w:hAnsi="Times New Roman" w:cs="Times New Roman"/>
          <w:sz w:val="24"/>
          <w:szCs w:val="24"/>
        </w:rPr>
        <w:t>, 2015) – e individuais – como o perfil dos responsáveis pela inovação e de suas equipes (</w:t>
      </w:r>
      <w:r w:rsidR="00BF66D5" w:rsidRPr="0096792B">
        <w:rPr>
          <w:rFonts w:ascii="Times New Roman" w:hAnsi="Times New Roman" w:cs="Times New Roman"/>
          <w:sz w:val="24"/>
          <w:szCs w:val="24"/>
        </w:rPr>
        <w:t xml:space="preserve">YUAN; WOODMAN, 2010; ANDERSON </w:t>
      </w:r>
      <w:r w:rsidRPr="0096792B">
        <w:rPr>
          <w:rFonts w:ascii="Times New Roman" w:hAnsi="Times New Roman" w:cs="Times New Roman"/>
          <w:i/>
          <w:sz w:val="24"/>
          <w:szCs w:val="24"/>
        </w:rPr>
        <w:t>et al.</w:t>
      </w:r>
      <w:r w:rsidRPr="0096792B">
        <w:rPr>
          <w:rFonts w:ascii="Times New Roman" w:hAnsi="Times New Roman" w:cs="Times New Roman"/>
          <w:sz w:val="24"/>
          <w:szCs w:val="24"/>
        </w:rPr>
        <w:t xml:space="preserve">, 2014). </w:t>
      </w:r>
      <w:r w:rsidR="00FE1553">
        <w:rPr>
          <w:rFonts w:ascii="Times New Roman" w:hAnsi="Times New Roman" w:cs="Times New Roman"/>
          <w:sz w:val="24"/>
          <w:szCs w:val="24"/>
        </w:rPr>
        <w:t>Além disso, essa análise</w:t>
      </w:r>
      <w:r w:rsidR="006C2D68">
        <w:rPr>
          <w:rFonts w:ascii="Times New Roman" w:hAnsi="Times New Roman" w:cs="Times New Roman"/>
          <w:sz w:val="24"/>
          <w:szCs w:val="24"/>
        </w:rPr>
        <w:t xml:space="preserve"> deve</w:t>
      </w:r>
      <w:r w:rsidR="00FE1553">
        <w:rPr>
          <w:rFonts w:ascii="Times New Roman" w:hAnsi="Times New Roman" w:cs="Times New Roman"/>
          <w:sz w:val="24"/>
          <w:szCs w:val="24"/>
        </w:rPr>
        <w:t xml:space="preserve"> retratar os diversos contextos regionais</w:t>
      </w:r>
      <w:r w:rsidR="006C2D68">
        <w:rPr>
          <w:rFonts w:ascii="Times New Roman" w:hAnsi="Times New Roman" w:cs="Times New Roman"/>
          <w:sz w:val="24"/>
          <w:szCs w:val="24"/>
        </w:rPr>
        <w:t>, como sugerem Salazar e Holbrook (2004)</w:t>
      </w:r>
      <w:r w:rsidR="00FE1553">
        <w:rPr>
          <w:rFonts w:ascii="Times New Roman" w:hAnsi="Times New Roman" w:cs="Times New Roman"/>
          <w:sz w:val="24"/>
          <w:szCs w:val="24"/>
        </w:rPr>
        <w:t xml:space="preserve">. </w:t>
      </w:r>
    </w:p>
    <w:p w:rsidR="00170992" w:rsidRPr="0096792B" w:rsidRDefault="005F3B43" w:rsidP="00A230B5">
      <w:pPr>
        <w:widowControl w:val="0"/>
        <w:spacing w:after="240" w:line="480" w:lineRule="auto"/>
        <w:ind w:firstLine="708"/>
        <w:rPr>
          <w:rFonts w:ascii="Times New Roman" w:hAnsi="Times New Roman" w:cs="Times New Roman"/>
          <w:sz w:val="24"/>
          <w:szCs w:val="24"/>
        </w:rPr>
      </w:pPr>
      <w:r>
        <w:rPr>
          <w:rFonts w:ascii="Times New Roman" w:hAnsi="Times New Roman" w:cs="Times New Roman"/>
          <w:sz w:val="24"/>
          <w:szCs w:val="24"/>
        </w:rPr>
        <w:t xml:space="preserve">Considerando o exposto, </w:t>
      </w:r>
      <w:r w:rsidR="00170992" w:rsidRPr="0096792B">
        <w:rPr>
          <w:rFonts w:ascii="Times New Roman" w:hAnsi="Times New Roman" w:cs="Times New Roman"/>
          <w:sz w:val="24"/>
          <w:szCs w:val="24"/>
        </w:rPr>
        <w:t xml:space="preserve">este artigo tem o objetivo de </w:t>
      </w:r>
      <w:r w:rsidR="00270523" w:rsidRPr="0096792B">
        <w:rPr>
          <w:rFonts w:ascii="Times New Roman" w:eastAsia="Times New Roman" w:hAnsi="Times New Roman" w:cs="Times New Roman"/>
          <w:sz w:val="24"/>
          <w:szCs w:val="24"/>
        </w:rPr>
        <w:t xml:space="preserve">analisar a inovação </w:t>
      </w:r>
      <w:r w:rsidR="00270523" w:rsidRPr="0096792B">
        <w:rPr>
          <w:rFonts w:ascii="Times New Roman" w:hAnsi="Times New Roman" w:cs="Times New Roman"/>
          <w:sz w:val="24"/>
          <w:szCs w:val="24"/>
        </w:rPr>
        <w:t xml:space="preserve">nas empresas mineiras de Tecnologia da Informação (TI), indo além das variáveis avaliadas na PINTEC e abarcando </w:t>
      </w:r>
      <w:r w:rsidR="00270523" w:rsidRPr="0096792B">
        <w:rPr>
          <w:rFonts w:ascii="Times New Roman" w:eastAsia="Times New Roman" w:hAnsi="Times New Roman" w:cs="Times New Roman"/>
          <w:sz w:val="24"/>
          <w:szCs w:val="24"/>
        </w:rPr>
        <w:t>elementos ligados a estrutura, processos, gestão e recursos humanos</w:t>
      </w:r>
      <w:r w:rsidR="00170992" w:rsidRPr="0096792B">
        <w:rPr>
          <w:rFonts w:ascii="Times New Roman" w:hAnsi="Times New Roman" w:cs="Times New Roman"/>
          <w:sz w:val="24"/>
          <w:szCs w:val="24"/>
        </w:rPr>
        <w:t>. Dessa forma, pretende-se contribuir para as discussões teóricas acerca da inovação em SICs</w:t>
      </w:r>
      <w:r w:rsidR="00D94EED">
        <w:rPr>
          <w:rFonts w:ascii="Times New Roman" w:hAnsi="Times New Roman" w:cs="Times New Roman"/>
          <w:sz w:val="24"/>
          <w:szCs w:val="24"/>
        </w:rPr>
        <w:t xml:space="preserve"> de TI</w:t>
      </w:r>
      <w:r w:rsidR="00170992" w:rsidRPr="0096792B">
        <w:rPr>
          <w:rFonts w:ascii="Times New Roman" w:hAnsi="Times New Roman" w:cs="Times New Roman"/>
          <w:sz w:val="24"/>
          <w:szCs w:val="24"/>
        </w:rPr>
        <w:t xml:space="preserve">, considerando a dinamicidade e demais especificidades </w:t>
      </w:r>
      <w:r w:rsidR="00D94EED">
        <w:rPr>
          <w:rFonts w:ascii="Times New Roman" w:hAnsi="Times New Roman" w:cs="Times New Roman"/>
          <w:sz w:val="24"/>
          <w:szCs w:val="24"/>
        </w:rPr>
        <w:t>no contexto de Minas Gerais</w:t>
      </w:r>
      <w:r w:rsidR="00170992" w:rsidRPr="0096792B">
        <w:rPr>
          <w:rFonts w:ascii="Times New Roman" w:hAnsi="Times New Roman" w:cs="Times New Roman"/>
          <w:sz w:val="24"/>
          <w:szCs w:val="24"/>
        </w:rPr>
        <w:t xml:space="preserve">. Além disso, aspectos práticos </w:t>
      </w:r>
      <w:r w:rsidR="00F12C90">
        <w:rPr>
          <w:rFonts w:ascii="Times New Roman" w:hAnsi="Times New Roman" w:cs="Times New Roman"/>
          <w:sz w:val="24"/>
          <w:szCs w:val="24"/>
        </w:rPr>
        <w:t xml:space="preserve">referentes aos </w:t>
      </w:r>
      <w:r w:rsidR="00377267">
        <w:rPr>
          <w:rFonts w:ascii="Times New Roman" w:hAnsi="Times New Roman" w:cs="Times New Roman"/>
          <w:sz w:val="24"/>
          <w:szCs w:val="24"/>
        </w:rPr>
        <w:t xml:space="preserve">aspectos </w:t>
      </w:r>
      <w:r w:rsidR="00F12C90">
        <w:rPr>
          <w:rFonts w:ascii="Times New Roman" w:hAnsi="Times New Roman" w:cs="Times New Roman"/>
          <w:sz w:val="24"/>
          <w:szCs w:val="24"/>
        </w:rPr>
        <w:t>analisados neste artigo (</w:t>
      </w:r>
      <w:r w:rsidR="00170992" w:rsidRPr="0096792B">
        <w:rPr>
          <w:rFonts w:ascii="Times New Roman" w:hAnsi="Times New Roman" w:cs="Times New Roman"/>
          <w:sz w:val="24"/>
          <w:szCs w:val="24"/>
        </w:rPr>
        <w:t>estrutura, processo</w:t>
      </w:r>
      <w:r w:rsidR="00F12C90">
        <w:rPr>
          <w:rFonts w:ascii="Times New Roman" w:hAnsi="Times New Roman" w:cs="Times New Roman"/>
          <w:sz w:val="24"/>
          <w:szCs w:val="24"/>
        </w:rPr>
        <w:t>s,</w:t>
      </w:r>
      <w:r w:rsidR="00170992" w:rsidRPr="0096792B">
        <w:rPr>
          <w:rFonts w:ascii="Times New Roman" w:hAnsi="Times New Roman" w:cs="Times New Roman"/>
          <w:sz w:val="24"/>
          <w:szCs w:val="24"/>
        </w:rPr>
        <w:t xml:space="preserve"> gestão e </w:t>
      </w:r>
      <w:r w:rsidR="00F12C90">
        <w:rPr>
          <w:rFonts w:ascii="Times New Roman" w:hAnsi="Times New Roman" w:cs="Times New Roman"/>
          <w:sz w:val="24"/>
          <w:szCs w:val="24"/>
        </w:rPr>
        <w:t>recursos humanos)</w:t>
      </w:r>
      <w:r w:rsidR="00170992" w:rsidRPr="0096792B">
        <w:rPr>
          <w:rFonts w:ascii="Times New Roman" w:hAnsi="Times New Roman" w:cs="Times New Roman"/>
          <w:sz w:val="24"/>
          <w:szCs w:val="24"/>
        </w:rPr>
        <w:t xml:space="preserve"> poderão passar a ser objeto de ação de gestores desse setor na gestão da inovação.</w:t>
      </w:r>
    </w:p>
    <w:p w:rsidR="00170992" w:rsidRPr="0096792B" w:rsidRDefault="00170992"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 xml:space="preserve">Este artigo está organizado em torno das seguintes seções: a revisão de literatura traz noções úteis para se entender a inovação no setor de TI e discute os principais elementos de análise propostos - processos, estrutura e gestão, e recursos humanos. Esses elementos serão centrais para as definições metodológicas apresentadas na terceira seção, que envolvem a realização de </w:t>
      </w:r>
      <w:r w:rsidRPr="0096792B">
        <w:rPr>
          <w:rFonts w:ascii="Times New Roman" w:hAnsi="Times New Roman" w:cs="Times New Roman"/>
          <w:i/>
          <w:sz w:val="24"/>
          <w:szCs w:val="24"/>
        </w:rPr>
        <w:t xml:space="preserve">survey </w:t>
      </w:r>
      <w:r w:rsidRPr="0096792B">
        <w:rPr>
          <w:rFonts w:ascii="Times New Roman" w:hAnsi="Times New Roman" w:cs="Times New Roman"/>
          <w:sz w:val="24"/>
          <w:szCs w:val="24"/>
        </w:rPr>
        <w:t>e análises estatísticas descritivas. Na quarta seção, são discutidos os principais resultados da pesquisa envolvendo organizações de SICs de Minas Gerais, especificamente o setor de TI, enquanto que a quinta seção apresenta as reflexões finais a respeito da contribuição do artigo e as oportunidades de pesquisas futuras.</w:t>
      </w:r>
    </w:p>
    <w:p w:rsidR="00170992" w:rsidRPr="0096792B" w:rsidRDefault="00170992" w:rsidP="0096792B">
      <w:pPr>
        <w:pStyle w:val="Ttulo1"/>
        <w:keepNext w:val="0"/>
        <w:keepLines w:val="0"/>
        <w:widowControl w:val="0"/>
        <w:spacing w:after="240" w:line="480" w:lineRule="auto"/>
        <w:rPr>
          <w:caps w:val="0"/>
          <w:lang w:val="pt-BR"/>
        </w:rPr>
      </w:pPr>
      <w:r w:rsidRPr="0096792B">
        <w:rPr>
          <w:caps w:val="0"/>
          <w:lang w:val="pt-BR"/>
        </w:rPr>
        <w:t xml:space="preserve">2. Revisão de literatura – das bases teóricas aos elementos de análise da inovação nos SICs de </w:t>
      </w:r>
      <w:r w:rsidR="00A500EC">
        <w:rPr>
          <w:caps w:val="0"/>
          <w:lang w:val="pt-BR"/>
        </w:rPr>
        <w:t>TI</w:t>
      </w:r>
    </w:p>
    <w:p w:rsidR="00170992" w:rsidRPr="0096792B" w:rsidRDefault="00170992" w:rsidP="0096792B">
      <w:pPr>
        <w:widowControl w:val="0"/>
        <w:spacing w:after="240" w:line="480" w:lineRule="auto"/>
        <w:ind w:firstLine="708"/>
        <w:rPr>
          <w:rFonts w:ascii="Times New Roman" w:hAnsi="Times New Roman" w:cs="Times New Roman"/>
          <w:sz w:val="24"/>
          <w:szCs w:val="24"/>
          <w:shd w:val="clear" w:color="auto" w:fill="FFFFFF"/>
        </w:rPr>
      </w:pPr>
      <w:r w:rsidRPr="0096792B">
        <w:rPr>
          <w:rFonts w:ascii="Times New Roman" w:eastAsia="Times New Roman" w:hAnsi="Times New Roman" w:cs="Times New Roman"/>
          <w:sz w:val="24"/>
          <w:szCs w:val="24"/>
        </w:rPr>
        <w:t xml:space="preserve">O entendimento da inovação no setor de TI encontra bases sólidas na visão </w:t>
      </w:r>
      <w:r w:rsidRPr="0096792B">
        <w:rPr>
          <w:rFonts w:ascii="Times New Roman" w:eastAsia="Times New Roman" w:hAnsi="Times New Roman" w:cs="Times New Roman"/>
          <w:i/>
          <w:sz w:val="24"/>
          <w:szCs w:val="24"/>
        </w:rPr>
        <w:t>schumpeteriana</w:t>
      </w:r>
      <w:r w:rsidRPr="0096792B">
        <w:rPr>
          <w:rFonts w:ascii="Times New Roman" w:eastAsia="Times New Roman" w:hAnsi="Times New Roman" w:cs="Times New Roman"/>
          <w:sz w:val="24"/>
          <w:szCs w:val="24"/>
        </w:rPr>
        <w:t>, que coloca no centro do debate a inovação e a figura do empreendedor para explicar o desenvolvimento econômico no sistema capitalista (</w:t>
      </w:r>
      <w:r w:rsidR="00BF66D5" w:rsidRPr="0096792B">
        <w:rPr>
          <w:rFonts w:ascii="Times New Roman" w:eastAsia="Times New Roman" w:hAnsi="Times New Roman" w:cs="Times New Roman"/>
          <w:sz w:val="24"/>
          <w:szCs w:val="24"/>
        </w:rPr>
        <w:t>SCHUMPETER</w:t>
      </w:r>
      <w:r w:rsidRPr="0096792B">
        <w:rPr>
          <w:rFonts w:ascii="Times New Roman" w:eastAsia="Times New Roman" w:hAnsi="Times New Roman" w:cs="Times New Roman"/>
          <w:sz w:val="24"/>
          <w:szCs w:val="24"/>
        </w:rPr>
        <w:t xml:space="preserve">, 1997[1964]). </w:t>
      </w:r>
      <w:r w:rsidRPr="0096792B">
        <w:rPr>
          <w:rFonts w:ascii="Times New Roman" w:eastAsia="Times New Roman" w:hAnsi="Times New Roman" w:cs="Times New Roman"/>
          <w:sz w:val="24"/>
          <w:szCs w:val="24"/>
        </w:rPr>
        <w:lastRenderedPageBreak/>
        <w:t xml:space="preserve">Nessa linha, Freeman e Perez (1988), </w:t>
      </w:r>
      <w:r w:rsidRPr="0096792B">
        <w:rPr>
          <w:rFonts w:ascii="Times New Roman" w:eastAsia="Times New Roman" w:hAnsi="Times New Roman" w:cs="Times New Roman"/>
          <w:noProof/>
          <w:sz w:val="24"/>
          <w:szCs w:val="24"/>
        </w:rPr>
        <w:t xml:space="preserve">Dosi </w:t>
      </w:r>
      <w:r w:rsidRPr="0096792B">
        <w:rPr>
          <w:rFonts w:ascii="Times New Roman" w:eastAsia="Times New Roman" w:hAnsi="Times New Roman" w:cs="Times New Roman"/>
          <w:i/>
          <w:noProof/>
          <w:sz w:val="24"/>
          <w:szCs w:val="24"/>
        </w:rPr>
        <w:t>et al.</w:t>
      </w:r>
      <w:r w:rsidRPr="0096792B">
        <w:rPr>
          <w:rFonts w:ascii="Times New Roman" w:eastAsia="Times New Roman" w:hAnsi="Times New Roman" w:cs="Times New Roman"/>
          <w:sz w:val="24"/>
          <w:szCs w:val="24"/>
        </w:rPr>
        <w:t xml:space="preserve"> (2001), Nelson e Winter (2005) e Teece (2007) oferecem análises que consideram fundamentais as capacidades de inovação das firmas para a competitividade. </w:t>
      </w:r>
      <w:r w:rsidRPr="0096792B">
        <w:rPr>
          <w:rFonts w:ascii="Times New Roman" w:hAnsi="Times New Roman" w:cs="Times New Roman"/>
          <w:sz w:val="24"/>
          <w:szCs w:val="24"/>
          <w:shd w:val="clear" w:color="auto" w:fill="FFFFFF"/>
        </w:rPr>
        <w:t>Buscando avançar nesse debate, mais recentemente, Nelson (2008) apresentou uma reflexão sobre tecnologias sociais e tecnologias físicas que, conjuntamente, possibilitam a boa performance da atividade produtiva.</w:t>
      </w:r>
    </w:p>
    <w:p w:rsidR="00170992" w:rsidRPr="0096792B" w:rsidRDefault="00170992" w:rsidP="008E3609">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shd w:val="clear" w:color="auto" w:fill="FFFFFF"/>
        </w:rPr>
        <w:t>Nessa perspectiva, a inovação se mostra intangível, se manifestando na integração entre organizações e clientes, bem como na coordenação e gestão das atividades de inovação (</w:t>
      </w:r>
      <w:r w:rsidR="00BF66D5" w:rsidRPr="0096792B">
        <w:rPr>
          <w:rFonts w:ascii="Times New Roman" w:hAnsi="Times New Roman" w:cs="Times New Roman"/>
          <w:sz w:val="24"/>
          <w:szCs w:val="24"/>
          <w:shd w:val="clear" w:color="auto" w:fill="FFFFFF"/>
        </w:rPr>
        <w:t>HIPP; GRUPP</w:t>
      </w:r>
      <w:r w:rsidRPr="0096792B">
        <w:rPr>
          <w:rFonts w:ascii="Times New Roman" w:hAnsi="Times New Roman" w:cs="Times New Roman"/>
          <w:sz w:val="24"/>
          <w:szCs w:val="24"/>
          <w:shd w:val="clear" w:color="auto" w:fill="FFFFFF"/>
        </w:rPr>
        <w:t xml:space="preserve">, 2005). </w:t>
      </w:r>
      <w:r w:rsidR="00A500EC">
        <w:rPr>
          <w:rFonts w:ascii="Times New Roman" w:hAnsi="Times New Roman" w:cs="Times New Roman"/>
          <w:sz w:val="24"/>
          <w:szCs w:val="24"/>
          <w:shd w:val="clear" w:color="auto" w:fill="FFFFFF"/>
        </w:rPr>
        <w:t>A inovação e</w:t>
      </w:r>
      <w:r w:rsidRPr="0096792B">
        <w:rPr>
          <w:rFonts w:ascii="Times New Roman" w:hAnsi="Times New Roman" w:cs="Times New Roman"/>
          <w:sz w:val="24"/>
          <w:szCs w:val="24"/>
          <w:shd w:val="clear" w:color="auto" w:fill="FFFFFF"/>
        </w:rPr>
        <w:t>nvolve, em um processo interativo, clientes e fornecedores do serviço na busca de soluções (</w:t>
      </w:r>
      <w:r w:rsidR="00BF66D5" w:rsidRPr="0096792B">
        <w:rPr>
          <w:rFonts w:ascii="Times New Roman" w:hAnsi="Times New Roman" w:cs="Times New Roman"/>
          <w:sz w:val="24"/>
          <w:szCs w:val="24"/>
          <w:shd w:val="clear" w:color="auto" w:fill="FFFFFF"/>
        </w:rPr>
        <w:t>MILES</w:t>
      </w:r>
      <w:r w:rsidRPr="0096792B">
        <w:rPr>
          <w:rFonts w:ascii="Times New Roman" w:hAnsi="Times New Roman" w:cs="Times New Roman"/>
          <w:sz w:val="24"/>
          <w:szCs w:val="24"/>
          <w:shd w:val="clear" w:color="auto" w:fill="FFFFFF"/>
        </w:rPr>
        <w:t xml:space="preserve">, 2007). </w:t>
      </w:r>
      <w:r w:rsidR="00A500EC">
        <w:rPr>
          <w:rFonts w:ascii="Times New Roman" w:hAnsi="Times New Roman" w:cs="Times New Roman"/>
          <w:sz w:val="24"/>
          <w:szCs w:val="24"/>
          <w:shd w:val="clear" w:color="auto" w:fill="FFFFFF"/>
        </w:rPr>
        <w:t xml:space="preserve">Nesse processo, </w:t>
      </w:r>
      <w:r w:rsidRPr="0096792B">
        <w:rPr>
          <w:rFonts w:ascii="Times New Roman" w:hAnsi="Times New Roman" w:cs="Times New Roman"/>
          <w:sz w:val="24"/>
          <w:szCs w:val="24"/>
          <w:shd w:val="clear" w:color="auto" w:fill="FFFFFF"/>
        </w:rPr>
        <w:t>deve</w:t>
      </w:r>
      <w:r w:rsidR="00A03B2D">
        <w:rPr>
          <w:rFonts w:ascii="Times New Roman" w:hAnsi="Times New Roman" w:cs="Times New Roman"/>
          <w:sz w:val="24"/>
          <w:szCs w:val="24"/>
          <w:shd w:val="clear" w:color="auto" w:fill="FFFFFF"/>
        </w:rPr>
        <w:t>m</w:t>
      </w:r>
      <w:r w:rsidR="00A500EC">
        <w:rPr>
          <w:rFonts w:ascii="Times New Roman" w:hAnsi="Times New Roman" w:cs="Times New Roman"/>
          <w:sz w:val="24"/>
          <w:szCs w:val="24"/>
          <w:shd w:val="clear" w:color="auto" w:fill="FFFFFF"/>
        </w:rPr>
        <w:t>-se</w:t>
      </w:r>
      <w:r w:rsidRPr="0096792B">
        <w:rPr>
          <w:rFonts w:ascii="Times New Roman" w:hAnsi="Times New Roman" w:cs="Times New Roman"/>
          <w:sz w:val="24"/>
          <w:szCs w:val="24"/>
          <w:shd w:val="clear" w:color="auto" w:fill="FFFFFF"/>
        </w:rPr>
        <w:t xml:space="preserve"> observar questões como estratégia e gestão da P&amp;D, integração e alinhamento de estratégias de bens, serviços e soluções, novos modelos de negócios, entre </w:t>
      </w:r>
      <w:r w:rsidR="00075870">
        <w:rPr>
          <w:rFonts w:ascii="Times New Roman" w:hAnsi="Times New Roman" w:cs="Times New Roman"/>
          <w:sz w:val="24"/>
          <w:szCs w:val="24"/>
          <w:shd w:val="clear" w:color="auto" w:fill="FFFFFF"/>
        </w:rPr>
        <w:t>outras</w:t>
      </w:r>
      <w:r w:rsidR="00075870" w:rsidRPr="0096792B">
        <w:rPr>
          <w:rFonts w:ascii="Times New Roman" w:hAnsi="Times New Roman" w:cs="Times New Roman"/>
          <w:sz w:val="24"/>
          <w:szCs w:val="24"/>
          <w:shd w:val="clear" w:color="auto" w:fill="FFFFFF"/>
        </w:rPr>
        <w:t xml:space="preserve"> </w:t>
      </w:r>
      <w:r w:rsidRPr="0096792B">
        <w:rPr>
          <w:rFonts w:ascii="Times New Roman" w:hAnsi="Times New Roman" w:cs="Times New Roman"/>
          <w:sz w:val="24"/>
          <w:szCs w:val="24"/>
          <w:shd w:val="clear" w:color="auto" w:fill="FFFFFF"/>
        </w:rPr>
        <w:t>(</w:t>
      </w:r>
      <w:r w:rsidR="00BF66D5" w:rsidRPr="0096792B">
        <w:rPr>
          <w:rFonts w:ascii="Times New Roman" w:hAnsi="Times New Roman" w:cs="Times New Roman"/>
          <w:sz w:val="24"/>
          <w:szCs w:val="24"/>
          <w:shd w:val="clear" w:color="auto" w:fill="FFFFFF"/>
        </w:rPr>
        <w:t xml:space="preserve">CALABRIA </w:t>
      </w:r>
      <w:r w:rsidRPr="0096792B">
        <w:rPr>
          <w:rFonts w:ascii="Times New Roman" w:hAnsi="Times New Roman" w:cs="Times New Roman"/>
          <w:i/>
          <w:sz w:val="24"/>
          <w:szCs w:val="24"/>
          <w:shd w:val="clear" w:color="auto" w:fill="FFFFFF"/>
        </w:rPr>
        <w:t>et al.</w:t>
      </w:r>
      <w:r w:rsidRPr="0096792B">
        <w:rPr>
          <w:rFonts w:ascii="Times New Roman" w:hAnsi="Times New Roman" w:cs="Times New Roman"/>
          <w:sz w:val="24"/>
          <w:szCs w:val="24"/>
          <w:shd w:val="clear" w:color="auto" w:fill="FFFFFF"/>
        </w:rPr>
        <w:t>, 2014). Nessa direção, a</w:t>
      </w:r>
      <w:r w:rsidRPr="0096792B">
        <w:rPr>
          <w:rFonts w:ascii="Times New Roman" w:hAnsi="Times New Roman" w:cs="Times New Roman"/>
          <w:sz w:val="24"/>
          <w:szCs w:val="24"/>
        </w:rPr>
        <w:t>spectos gerenciais passam então a ser considerados como elemento</w:t>
      </w:r>
      <w:r w:rsidR="00A03B2D">
        <w:rPr>
          <w:rFonts w:ascii="Times New Roman" w:hAnsi="Times New Roman" w:cs="Times New Roman"/>
          <w:sz w:val="24"/>
          <w:szCs w:val="24"/>
        </w:rPr>
        <w:t>s</w:t>
      </w:r>
      <w:r w:rsidRPr="0096792B">
        <w:rPr>
          <w:rFonts w:ascii="Times New Roman" w:hAnsi="Times New Roman" w:cs="Times New Roman"/>
          <w:sz w:val="24"/>
          <w:szCs w:val="24"/>
        </w:rPr>
        <w:t>-chave e singulares para a combinação de competências e comportamentos de difícil replicação ou imitação por parte de competidores. Tais aspectos envolvem o processo de inovação e atividades inovativas, a inovação organizacional e seus impactos sobre estrutura e gestão das organizações, bem como os recursos humanos (RH) que nelas atuam com inovação, como será observado nas subseções seguintes.</w:t>
      </w:r>
    </w:p>
    <w:p w:rsidR="00170992" w:rsidRPr="0096792B" w:rsidRDefault="00170992" w:rsidP="0096792B">
      <w:pPr>
        <w:widowControl w:val="0"/>
        <w:spacing w:after="240" w:line="480" w:lineRule="auto"/>
        <w:rPr>
          <w:rFonts w:ascii="Times New Roman" w:hAnsi="Times New Roman" w:cs="Times New Roman"/>
          <w:i/>
          <w:sz w:val="24"/>
          <w:szCs w:val="24"/>
        </w:rPr>
      </w:pPr>
      <w:r w:rsidRPr="0096792B">
        <w:rPr>
          <w:rFonts w:ascii="Times New Roman" w:hAnsi="Times New Roman" w:cs="Times New Roman"/>
          <w:i/>
          <w:sz w:val="24"/>
          <w:szCs w:val="24"/>
        </w:rPr>
        <w:t>2.1. O processo de inovação nos SICs de TI</w:t>
      </w:r>
    </w:p>
    <w:p w:rsidR="00170992" w:rsidRPr="0096792B" w:rsidRDefault="00170992" w:rsidP="0096792B">
      <w:pPr>
        <w:widowControl w:val="0"/>
        <w:spacing w:after="240" w:line="480" w:lineRule="auto"/>
        <w:ind w:firstLine="708"/>
        <w:rPr>
          <w:rFonts w:ascii="Times New Roman" w:hAnsi="Times New Roman" w:cs="Times New Roman"/>
          <w:sz w:val="24"/>
          <w:szCs w:val="24"/>
          <w:shd w:val="clear" w:color="auto" w:fill="FFFFFF"/>
        </w:rPr>
      </w:pPr>
      <w:r w:rsidRPr="0096792B">
        <w:rPr>
          <w:rFonts w:ascii="Times New Roman" w:hAnsi="Times New Roman" w:cs="Times New Roman"/>
          <w:sz w:val="24"/>
          <w:szCs w:val="24"/>
          <w:shd w:val="clear" w:color="auto" w:fill="FFFFFF"/>
        </w:rPr>
        <w:t>Diferentemente dos processos de inovação característicos de setores industriais, nos serviços intensivos em conhecimento há uma forte presença das diversas áreas funcionais de uma empresa, além de atividades de P&amp;D articuladas com atores dos sistemas de inovação (</w:t>
      </w:r>
      <w:r w:rsidR="00BF66D5" w:rsidRPr="0096792B">
        <w:rPr>
          <w:rFonts w:ascii="Times New Roman" w:hAnsi="Times New Roman" w:cs="Times New Roman"/>
          <w:sz w:val="24"/>
          <w:szCs w:val="24"/>
          <w:shd w:val="clear" w:color="auto" w:fill="FFFFFF"/>
        </w:rPr>
        <w:t>MILES</w:t>
      </w:r>
      <w:r w:rsidRPr="0096792B">
        <w:rPr>
          <w:rFonts w:ascii="Times New Roman" w:hAnsi="Times New Roman" w:cs="Times New Roman"/>
          <w:sz w:val="24"/>
          <w:szCs w:val="24"/>
          <w:shd w:val="clear" w:color="auto" w:fill="FFFFFF"/>
        </w:rPr>
        <w:t>, 2007).</w:t>
      </w:r>
      <w:r w:rsidRPr="0096792B">
        <w:rPr>
          <w:rFonts w:ascii="Times New Roman" w:hAnsi="Times New Roman" w:cs="Times New Roman"/>
          <w:sz w:val="24"/>
          <w:szCs w:val="24"/>
        </w:rPr>
        <w:t xml:space="preserve"> Isso porque diante da demanda de introduzir inovações radicais e de ciclos curtos no mercado, é preciso que as empresas intensivas </w:t>
      </w:r>
      <w:r w:rsidR="006F1E85">
        <w:rPr>
          <w:rFonts w:ascii="Times New Roman" w:hAnsi="Times New Roman" w:cs="Times New Roman"/>
          <w:sz w:val="24"/>
          <w:szCs w:val="24"/>
        </w:rPr>
        <w:t xml:space="preserve">em </w:t>
      </w:r>
      <w:r w:rsidRPr="0096792B">
        <w:rPr>
          <w:rFonts w:ascii="Times New Roman" w:hAnsi="Times New Roman" w:cs="Times New Roman"/>
          <w:sz w:val="24"/>
          <w:szCs w:val="24"/>
        </w:rPr>
        <w:t xml:space="preserve">conhecimento invistam alto em P&amp;D, visando </w:t>
      </w:r>
      <w:r w:rsidR="006F1E85">
        <w:rPr>
          <w:rFonts w:ascii="Times New Roman" w:hAnsi="Times New Roman" w:cs="Times New Roman"/>
          <w:sz w:val="24"/>
          <w:szCs w:val="24"/>
        </w:rPr>
        <w:t xml:space="preserve">à </w:t>
      </w:r>
      <w:r w:rsidRPr="0096792B">
        <w:rPr>
          <w:rFonts w:ascii="Times New Roman" w:hAnsi="Times New Roman" w:cs="Times New Roman"/>
          <w:sz w:val="24"/>
          <w:szCs w:val="24"/>
        </w:rPr>
        <w:t>abertura de novos mercados e novas oportunidades (</w:t>
      </w:r>
      <w:r w:rsidR="00BF66D5" w:rsidRPr="0096792B">
        <w:rPr>
          <w:rFonts w:ascii="Times New Roman" w:hAnsi="Times New Roman" w:cs="Times New Roman"/>
          <w:sz w:val="24"/>
          <w:szCs w:val="24"/>
        </w:rPr>
        <w:t>BIGNETTI</w:t>
      </w:r>
      <w:r w:rsidRPr="0096792B">
        <w:rPr>
          <w:rFonts w:ascii="Times New Roman" w:hAnsi="Times New Roman" w:cs="Times New Roman"/>
          <w:sz w:val="24"/>
          <w:szCs w:val="24"/>
        </w:rPr>
        <w:t>, 2002).</w:t>
      </w:r>
    </w:p>
    <w:p w:rsidR="00170992" w:rsidRPr="0096792B" w:rsidRDefault="00170992" w:rsidP="0096792B">
      <w:pPr>
        <w:widowControl w:val="0"/>
        <w:spacing w:after="240" w:line="480" w:lineRule="auto"/>
        <w:ind w:firstLine="708"/>
        <w:rPr>
          <w:rFonts w:ascii="Times New Roman" w:hAnsi="Times New Roman" w:cs="Times New Roman"/>
          <w:sz w:val="24"/>
          <w:szCs w:val="24"/>
          <w:shd w:val="clear" w:color="auto" w:fill="FFFFFF"/>
        </w:rPr>
      </w:pPr>
      <w:r w:rsidRPr="0096792B">
        <w:rPr>
          <w:rFonts w:ascii="Times New Roman" w:hAnsi="Times New Roman" w:cs="Times New Roman"/>
          <w:sz w:val="24"/>
          <w:szCs w:val="24"/>
          <w:shd w:val="clear" w:color="auto" w:fill="FFFFFF"/>
        </w:rPr>
        <w:lastRenderedPageBreak/>
        <w:t>Nem todos os SICs são iguais, como é o caso particular dos serviços de TI analisados neste artigo. Esse setor se encaixa na tipologia de SICs Tecnológicos (</w:t>
      </w:r>
      <w:r w:rsidR="00BF66D5" w:rsidRPr="0096792B">
        <w:rPr>
          <w:rFonts w:ascii="Times New Roman" w:hAnsi="Times New Roman" w:cs="Times New Roman"/>
          <w:sz w:val="24"/>
          <w:szCs w:val="24"/>
          <w:shd w:val="clear" w:color="auto" w:fill="FFFFFF"/>
        </w:rPr>
        <w:t>MILES</w:t>
      </w:r>
      <w:r w:rsidRPr="0096792B">
        <w:rPr>
          <w:rFonts w:ascii="Times New Roman" w:hAnsi="Times New Roman" w:cs="Times New Roman"/>
          <w:sz w:val="24"/>
          <w:szCs w:val="24"/>
          <w:shd w:val="clear" w:color="auto" w:fill="FFFFFF"/>
        </w:rPr>
        <w:t>, 2005): são serviços produtores de novas tecnologias, capazes de fornecer tecnologia para outros setores. Dessa forma, a geração e o uso da TI possuem um papel central nas atividades inovativas em outros setores, com impactos sobre o desempenho das organizações (</w:t>
      </w:r>
      <w:r w:rsidR="00BF66D5" w:rsidRPr="0096792B">
        <w:rPr>
          <w:rFonts w:ascii="Times New Roman" w:hAnsi="Times New Roman" w:cs="Times New Roman"/>
          <w:sz w:val="24"/>
          <w:szCs w:val="24"/>
          <w:shd w:val="clear" w:color="auto" w:fill="FFFFFF"/>
        </w:rPr>
        <w:t>EVANGELISTA</w:t>
      </w:r>
      <w:r w:rsidRPr="0096792B">
        <w:rPr>
          <w:rFonts w:ascii="Times New Roman" w:hAnsi="Times New Roman" w:cs="Times New Roman"/>
          <w:sz w:val="24"/>
          <w:szCs w:val="24"/>
          <w:shd w:val="clear" w:color="auto" w:fill="FFFFFF"/>
        </w:rPr>
        <w:t>, 2006). As organizações do setor de TI tendem a ser menores, a apresentar pouca atividade de P&amp;D sistemática e a ter atividade inovativa difusa entre vários departamentos (</w:t>
      </w:r>
      <w:r w:rsidR="00BF66D5" w:rsidRPr="0096792B">
        <w:rPr>
          <w:rFonts w:ascii="Times New Roman" w:hAnsi="Times New Roman" w:cs="Times New Roman"/>
          <w:sz w:val="24"/>
          <w:szCs w:val="24"/>
          <w:shd w:val="clear" w:color="auto" w:fill="FFFFFF"/>
        </w:rPr>
        <w:t>HIPP;</w:t>
      </w:r>
      <w:r w:rsidRPr="0096792B">
        <w:rPr>
          <w:rFonts w:ascii="Times New Roman" w:hAnsi="Times New Roman" w:cs="Times New Roman"/>
          <w:sz w:val="24"/>
          <w:szCs w:val="24"/>
          <w:shd w:val="clear" w:color="auto" w:fill="FFFFFF"/>
        </w:rPr>
        <w:t xml:space="preserve"> </w:t>
      </w:r>
      <w:r w:rsidR="00BF66D5" w:rsidRPr="0096792B">
        <w:rPr>
          <w:rFonts w:ascii="Times New Roman" w:hAnsi="Times New Roman" w:cs="Times New Roman"/>
          <w:sz w:val="24"/>
          <w:szCs w:val="24"/>
          <w:shd w:val="clear" w:color="auto" w:fill="FFFFFF"/>
        </w:rPr>
        <w:t>GRUPP</w:t>
      </w:r>
      <w:r w:rsidRPr="0096792B">
        <w:rPr>
          <w:rFonts w:ascii="Times New Roman" w:hAnsi="Times New Roman" w:cs="Times New Roman"/>
          <w:sz w:val="24"/>
          <w:szCs w:val="24"/>
          <w:shd w:val="clear" w:color="auto" w:fill="FFFFFF"/>
        </w:rPr>
        <w:t>, 2005). Apesar disso (ou talvez por causa disso), essas organizações normalmente são capazes de gerar mais de um tipo de inovação, combinando-os (</w:t>
      </w:r>
      <w:r w:rsidR="00BF66D5" w:rsidRPr="0096792B">
        <w:rPr>
          <w:rFonts w:ascii="Times New Roman" w:hAnsi="Times New Roman" w:cs="Times New Roman"/>
          <w:sz w:val="24"/>
          <w:szCs w:val="24"/>
          <w:shd w:val="clear" w:color="auto" w:fill="FFFFFF"/>
        </w:rPr>
        <w:t>NÄHLINDER</w:t>
      </w:r>
      <w:r w:rsidRPr="0096792B">
        <w:rPr>
          <w:rFonts w:ascii="Times New Roman" w:hAnsi="Times New Roman" w:cs="Times New Roman"/>
          <w:sz w:val="24"/>
          <w:szCs w:val="24"/>
          <w:shd w:val="clear" w:color="auto" w:fill="FFFFFF"/>
        </w:rPr>
        <w:t>, 2005).</w:t>
      </w:r>
    </w:p>
    <w:p w:rsidR="00170992" w:rsidRPr="0096792B" w:rsidRDefault="00170992" w:rsidP="0096792B">
      <w:pPr>
        <w:widowControl w:val="0"/>
        <w:spacing w:after="240" w:line="480" w:lineRule="auto"/>
        <w:ind w:firstLine="708"/>
        <w:rPr>
          <w:rFonts w:ascii="Times New Roman" w:hAnsi="Times New Roman" w:cs="Times New Roman"/>
          <w:sz w:val="24"/>
          <w:szCs w:val="24"/>
          <w:shd w:val="clear" w:color="auto" w:fill="FFFFFF"/>
        </w:rPr>
      </w:pPr>
      <w:r w:rsidRPr="0096792B">
        <w:rPr>
          <w:rFonts w:ascii="Times New Roman" w:hAnsi="Times New Roman" w:cs="Times New Roman"/>
          <w:sz w:val="24"/>
          <w:szCs w:val="24"/>
          <w:shd w:val="clear" w:color="auto" w:fill="FFFFFF"/>
        </w:rPr>
        <w:t>Além da ênfase na inovação organizacional e no investimento em P&amp;D, é comum observar em empresas de TI o fato de dirigentes terem que lidar com eventos e situações sobre os quais não têm nenhum controle, tomando decisões rápidas e precisas sobre novos cursos de ação. Nesse caso, o estabelecimento de interações com grupos externos relevantes surge como uma maneira de favorecer a adoção de novos negócios, diminuir os investimentos em P&amp;D e reduzir os riscos no desenvolvimento de novos produtos e/ou serviços. Tais fatores contribuem para que a atividade inovativa nas SICs não se restrinja apenas aos departamentos de P&amp;D, se concentrando cada vez mais nas figuras dos dirigentes dessas empresas (</w:t>
      </w:r>
      <w:r w:rsidR="00BF66D5" w:rsidRPr="0096792B">
        <w:rPr>
          <w:rFonts w:ascii="Times New Roman" w:hAnsi="Times New Roman" w:cs="Times New Roman"/>
          <w:sz w:val="24"/>
          <w:szCs w:val="24"/>
          <w:shd w:val="clear" w:color="auto" w:fill="FFFFFF"/>
        </w:rPr>
        <w:t>BIGNETTI</w:t>
      </w:r>
      <w:r w:rsidRPr="0096792B">
        <w:rPr>
          <w:rFonts w:ascii="Times New Roman" w:hAnsi="Times New Roman" w:cs="Times New Roman"/>
          <w:sz w:val="24"/>
          <w:szCs w:val="24"/>
          <w:shd w:val="clear" w:color="auto" w:fill="FFFFFF"/>
        </w:rPr>
        <w:t>, 2002).</w:t>
      </w:r>
    </w:p>
    <w:p w:rsidR="00170992" w:rsidRPr="0096792B" w:rsidRDefault="00170992" w:rsidP="0096792B">
      <w:pPr>
        <w:widowControl w:val="0"/>
        <w:spacing w:after="240" w:line="480" w:lineRule="auto"/>
        <w:ind w:firstLine="708"/>
        <w:rPr>
          <w:rFonts w:ascii="Times New Roman" w:hAnsi="Times New Roman" w:cs="Times New Roman"/>
          <w:sz w:val="24"/>
          <w:szCs w:val="24"/>
          <w:shd w:val="clear" w:color="auto" w:fill="FFFFFF"/>
        </w:rPr>
      </w:pPr>
      <w:r w:rsidRPr="0096792B">
        <w:rPr>
          <w:rFonts w:ascii="Times New Roman" w:hAnsi="Times New Roman" w:cs="Times New Roman"/>
          <w:sz w:val="24"/>
          <w:szCs w:val="24"/>
          <w:shd w:val="clear" w:color="auto" w:fill="FFFFFF"/>
        </w:rPr>
        <w:t xml:space="preserve">Portanto, os SICs de TI possuem uma dinâmica inovativa diferente não somente em relação aos setores industriais, mas também em relação aos demais setores de serviço. </w:t>
      </w:r>
      <w:r w:rsidR="00343D3B">
        <w:rPr>
          <w:rFonts w:ascii="Times New Roman" w:hAnsi="Times New Roman" w:cs="Times New Roman"/>
          <w:sz w:val="24"/>
          <w:szCs w:val="24"/>
          <w:shd w:val="clear" w:color="auto" w:fill="FFFFFF"/>
        </w:rPr>
        <w:t>A</w:t>
      </w:r>
      <w:r w:rsidRPr="0096792B">
        <w:rPr>
          <w:rFonts w:ascii="Times New Roman" w:hAnsi="Times New Roman" w:cs="Times New Roman"/>
          <w:sz w:val="24"/>
          <w:szCs w:val="24"/>
          <w:shd w:val="clear" w:color="auto" w:fill="FFFFFF"/>
        </w:rPr>
        <w:t xml:space="preserve"> inovação nos SICs de TI possui uma grande ênfase em tecnologia, mas vai além dela, perpassando mudanças significativas nos arranjos sociais internos e externos. Às atividades inovativas baseadas no conhecimento técnico associam-se outros elementos, tais como as inovações organizacionais, as interações com os clientes e parceiros estratégicos e a </w:t>
      </w:r>
      <w:r w:rsidRPr="0096792B">
        <w:rPr>
          <w:rFonts w:ascii="Times New Roman" w:hAnsi="Times New Roman" w:cs="Times New Roman"/>
          <w:sz w:val="24"/>
          <w:szCs w:val="24"/>
          <w:shd w:val="clear" w:color="auto" w:fill="FFFFFF"/>
        </w:rPr>
        <w:lastRenderedPageBreak/>
        <w:t>dependência de pessoal altamente qualificado.</w:t>
      </w:r>
    </w:p>
    <w:p w:rsidR="00170992" w:rsidRPr="0096792B" w:rsidRDefault="00170992" w:rsidP="0096792B">
      <w:pPr>
        <w:widowControl w:val="0"/>
        <w:spacing w:after="240" w:line="480" w:lineRule="auto"/>
        <w:rPr>
          <w:rFonts w:ascii="Times New Roman" w:hAnsi="Times New Roman" w:cs="Times New Roman"/>
          <w:i/>
          <w:sz w:val="24"/>
          <w:szCs w:val="24"/>
        </w:rPr>
      </w:pPr>
      <w:r w:rsidRPr="0096792B">
        <w:rPr>
          <w:rFonts w:ascii="Times New Roman" w:hAnsi="Times New Roman" w:cs="Times New Roman"/>
          <w:i/>
          <w:sz w:val="24"/>
          <w:szCs w:val="24"/>
        </w:rPr>
        <w:t>2.2. Inovação organizacional e suas consequências sobre estrutura e gestão</w:t>
      </w:r>
    </w:p>
    <w:p w:rsidR="00170992" w:rsidRPr="0096792B" w:rsidRDefault="00D4016F" w:rsidP="0096792B">
      <w:pPr>
        <w:widowControl w:val="0"/>
        <w:spacing w:after="240" w:line="480" w:lineRule="auto"/>
        <w:ind w:firstLine="708"/>
        <w:rPr>
          <w:rFonts w:ascii="Times New Roman" w:hAnsi="Times New Roman" w:cs="Times New Roman"/>
          <w:sz w:val="24"/>
          <w:szCs w:val="24"/>
        </w:rPr>
      </w:pPr>
      <w:r>
        <w:rPr>
          <w:rFonts w:ascii="Times New Roman" w:hAnsi="Times New Roman" w:cs="Times New Roman"/>
          <w:sz w:val="24"/>
          <w:szCs w:val="24"/>
        </w:rPr>
        <w:t>Pesquisas recentes</w:t>
      </w:r>
      <w:r w:rsidR="00045758" w:rsidRPr="0096792B">
        <w:rPr>
          <w:rFonts w:ascii="Times New Roman" w:hAnsi="Times New Roman" w:cs="Times New Roman"/>
          <w:sz w:val="24"/>
          <w:szCs w:val="24"/>
        </w:rPr>
        <w:t xml:space="preserve"> indicam que </w:t>
      </w:r>
      <w:r w:rsidR="00170992" w:rsidRPr="0096792B">
        <w:rPr>
          <w:rFonts w:ascii="Times New Roman" w:hAnsi="Times New Roman" w:cs="Times New Roman"/>
          <w:sz w:val="24"/>
          <w:szCs w:val="24"/>
        </w:rPr>
        <w:t>a inovação organizacional</w:t>
      </w:r>
      <w:r w:rsidR="0096792B">
        <w:rPr>
          <w:rStyle w:val="Refdenotadefim"/>
          <w:rFonts w:ascii="Times New Roman" w:hAnsi="Times New Roman" w:cs="Times New Roman"/>
          <w:sz w:val="24"/>
          <w:szCs w:val="24"/>
        </w:rPr>
        <w:endnoteReference w:id="1"/>
      </w:r>
      <w:r w:rsidR="00170992" w:rsidRPr="0096792B">
        <w:rPr>
          <w:rFonts w:ascii="Times New Roman" w:hAnsi="Times New Roman" w:cs="Times New Roman"/>
          <w:sz w:val="24"/>
          <w:szCs w:val="24"/>
        </w:rPr>
        <w:t xml:space="preserve"> contribui para a inovação tecnológica e para o desempenho das organizações de serviços. No Brasil, por exemplo, </w:t>
      </w:r>
      <w:r w:rsidR="00170992" w:rsidRPr="0096792B">
        <w:rPr>
          <w:rFonts w:ascii="Times New Roman" w:hAnsi="Times New Roman" w:cs="Times New Roman"/>
          <w:noProof/>
          <w:sz w:val="24"/>
          <w:szCs w:val="24"/>
        </w:rPr>
        <w:t>Silva Neto</w:t>
      </w:r>
      <w:r w:rsidR="00170992" w:rsidRPr="0096792B">
        <w:rPr>
          <w:rFonts w:ascii="Times New Roman" w:hAnsi="Times New Roman" w:cs="Times New Roman"/>
          <w:i/>
          <w:noProof/>
          <w:sz w:val="24"/>
          <w:szCs w:val="24"/>
        </w:rPr>
        <w:t xml:space="preserve"> et al.</w:t>
      </w:r>
      <w:r w:rsidR="00170992" w:rsidRPr="0096792B">
        <w:rPr>
          <w:rFonts w:ascii="Times New Roman" w:hAnsi="Times New Roman" w:cs="Times New Roman"/>
          <w:noProof/>
          <w:sz w:val="24"/>
          <w:szCs w:val="24"/>
        </w:rPr>
        <w:t xml:space="preserve"> (2014)</w:t>
      </w:r>
      <w:r w:rsidR="00170992" w:rsidRPr="0096792B">
        <w:rPr>
          <w:rFonts w:ascii="Times New Roman" w:hAnsi="Times New Roman" w:cs="Times New Roman"/>
          <w:sz w:val="24"/>
          <w:szCs w:val="24"/>
        </w:rPr>
        <w:t xml:space="preserve"> constatam que as atividades de inovação no setor de serviços das empresas de Minas Gerais são em sua maioria organizacionais. Os casos estudados por </w:t>
      </w:r>
      <w:r w:rsidR="00170992" w:rsidRPr="0096792B">
        <w:rPr>
          <w:rFonts w:ascii="Times New Roman" w:hAnsi="Times New Roman" w:cs="Times New Roman"/>
          <w:noProof/>
          <w:sz w:val="24"/>
          <w:szCs w:val="24"/>
        </w:rPr>
        <w:t>Vasconcellos e Marx (2011)</w:t>
      </w:r>
      <w:r w:rsidR="00170992" w:rsidRPr="0096792B">
        <w:rPr>
          <w:rFonts w:ascii="Times New Roman" w:hAnsi="Times New Roman" w:cs="Times New Roman"/>
          <w:sz w:val="24"/>
          <w:szCs w:val="24"/>
        </w:rPr>
        <w:t xml:space="preserve"> mostram como os aspectos organizacionais sustentam as inovações de conteúdo tecnológico realizadas em organizações dos setores de telecomunicações e de atividades de informática.</w:t>
      </w:r>
    </w:p>
    <w:p w:rsidR="00170992" w:rsidRPr="0096792B" w:rsidRDefault="00170992"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Ainda no contexto brasileiro, Calabria</w:t>
      </w:r>
      <w:r w:rsidRPr="0096792B">
        <w:rPr>
          <w:rFonts w:ascii="Times New Roman" w:hAnsi="Times New Roman" w:cs="Times New Roman"/>
          <w:i/>
          <w:sz w:val="24"/>
          <w:szCs w:val="24"/>
        </w:rPr>
        <w:t xml:space="preserve"> et al.</w:t>
      </w:r>
      <w:r w:rsidRPr="0096792B">
        <w:rPr>
          <w:rFonts w:ascii="Times New Roman" w:hAnsi="Times New Roman" w:cs="Times New Roman"/>
          <w:sz w:val="24"/>
          <w:szCs w:val="24"/>
        </w:rPr>
        <w:t xml:space="preserve"> (2014) chama</w:t>
      </w:r>
      <w:r w:rsidR="00045758">
        <w:rPr>
          <w:rFonts w:ascii="Times New Roman" w:hAnsi="Times New Roman" w:cs="Times New Roman"/>
          <w:sz w:val="24"/>
          <w:szCs w:val="24"/>
        </w:rPr>
        <w:t>m</w:t>
      </w:r>
      <w:r w:rsidRPr="0096792B">
        <w:rPr>
          <w:rFonts w:ascii="Times New Roman" w:hAnsi="Times New Roman" w:cs="Times New Roman"/>
          <w:sz w:val="24"/>
          <w:szCs w:val="24"/>
        </w:rPr>
        <w:t xml:space="preserve"> a atenção para a necessidade de alinhamento entre inovação, gestão e estruturas organizacionais. Figueiredo (2009) também argumenta que grande parte da capacidade tecnológica de organizações </w:t>
      </w:r>
      <w:r w:rsidR="00FB1942">
        <w:rPr>
          <w:rFonts w:ascii="Times New Roman" w:hAnsi="Times New Roman" w:cs="Times New Roman"/>
          <w:sz w:val="24"/>
          <w:szCs w:val="24"/>
        </w:rPr>
        <w:t>dos</w:t>
      </w:r>
      <w:r w:rsidR="00045758">
        <w:rPr>
          <w:rFonts w:ascii="Times New Roman" w:hAnsi="Times New Roman" w:cs="Times New Roman"/>
          <w:sz w:val="24"/>
          <w:szCs w:val="24"/>
        </w:rPr>
        <w:t xml:space="preserve"> SICs</w:t>
      </w:r>
      <w:r w:rsidRPr="0096792B">
        <w:rPr>
          <w:rFonts w:ascii="Times New Roman" w:hAnsi="Times New Roman" w:cs="Times New Roman"/>
          <w:sz w:val="24"/>
          <w:szCs w:val="24"/>
        </w:rPr>
        <w:t xml:space="preserve"> está acumulada e armazenada nas rotinas, procedimentos, normas e valores – remetendo a possíveis inovações organizacionais. Barbosa</w:t>
      </w:r>
      <w:r w:rsidRPr="0096792B">
        <w:rPr>
          <w:rFonts w:ascii="Times New Roman" w:hAnsi="Times New Roman" w:cs="Times New Roman"/>
          <w:i/>
          <w:sz w:val="24"/>
          <w:szCs w:val="24"/>
        </w:rPr>
        <w:t xml:space="preserve"> et al.</w:t>
      </w:r>
      <w:r w:rsidRPr="0096792B">
        <w:rPr>
          <w:rFonts w:ascii="Times New Roman" w:hAnsi="Times New Roman" w:cs="Times New Roman"/>
          <w:sz w:val="24"/>
          <w:szCs w:val="24"/>
        </w:rPr>
        <w:t xml:space="preserve"> (2015) constatam que a inovação organizacional se manifesta mais nas relações externas e nas técnicas de gestão do que na organização do trabalho. Tais medidas fazem com que se estabeleça uma nova maneira para lidar com a inovação, a partir de uma estrutura organizacional mais flexível e uma gestão mais aberta, não restrita ao P&amp;D, contando com o apoio de colaboradores e competidores.</w:t>
      </w:r>
    </w:p>
    <w:p w:rsidR="00170992" w:rsidRPr="0096792B" w:rsidRDefault="00170992"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 xml:space="preserve">A literatura evidencia que o setor de serviços tem mais inovação organizacional que o setor industrial, como afirmam Tether e Tajar (2008). </w:t>
      </w:r>
      <w:r w:rsidR="00312647">
        <w:rPr>
          <w:rFonts w:ascii="Times New Roman" w:hAnsi="Times New Roman" w:cs="Times New Roman"/>
          <w:sz w:val="24"/>
          <w:szCs w:val="24"/>
        </w:rPr>
        <w:t>S</w:t>
      </w:r>
      <w:r w:rsidRPr="0096792B">
        <w:rPr>
          <w:rFonts w:ascii="Times New Roman" w:hAnsi="Times New Roman" w:cs="Times New Roman"/>
          <w:sz w:val="24"/>
          <w:szCs w:val="24"/>
        </w:rPr>
        <w:t xml:space="preserve">egundo esses autores, o setor de serviços (em especial, comércio e distribuição) realiza mais inovação organizacional do que inovação baseada em pesquisa e desenvolvimento. </w:t>
      </w:r>
      <w:r w:rsidR="00312647">
        <w:rPr>
          <w:rFonts w:ascii="Times New Roman" w:hAnsi="Times New Roman" w:cs="Times New Roman"/>
          <w:sz w:val="24"/>
          <w:szCs w:val="24"/>
        </w:rPr>
        <w:t>S</w:t>
      </w:r>
      <w:r w:rsidRPr="0096792B">
        <w:rPr>
          <w:rFonts w:ascii="Times New Roman" w:hAnsi="Times New Roman" w:cs="Times New Roman"/>
          <w:sz w:val="24"/>
          <w:szCs w:val="24"/>
        </w:rPr>
        <w:t xml:space="preserve">egundo Makó </w:t>
      </w:r>
      <w:r w:rsidRPr="0096792B">
        <w:rPr>
          <w:rFonts w:ascii="Times New Roman" w:hAnsi="Times New Roman" w:cs="Times New Roman"/>
          <w:i/>
          <w:sz w:val="24"/>
          <w:szCs w:val="24"/>
        </w:rPr>
        <w:t>et al.</w:t>
      </w:r>
      <w:r w:rsidRPr="0096792B">
        <w:rPr>
          <w:rFonts w:ascii="Times New Roman" w:hAnsi="Times New Roman" w:cs="Times New Roman"/>
          <w:sz w:val="24"/>
          <w:szCs w:val="24"/>
        </w:rPr>
        <w:t xml:space="preserve"> (2011), esse padrão também prevalece, notadamente em novos métodos de organização do trabalho e novos estilos de relações externas. </w:t>
      </w:r>
    </w:p>
    <w:p w:rsidR="00170992" w:rsidRPr="0096792B" w:rsidRDefault="00170992"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lastRenderedPageBreak/>
        <w:t>Em última instância, as inovações organizacionais contribuem para a criação de serviços novos para o mercado (</w:t>
      </w:r>
      <w:r w:rsidR="00BF66D5" w:rsidRPr="0096792B">
        <w:rPr>
          <w:rFonts w:ascii="Times New Roman" w:hAnsi="Times New Roman" w:cs="Times New Roman"/>
          <w:sz w:val="24"/>
          <w:szCs w:val="24"/>
        </w:rPr>
        <w:t>MOL; BIRKINSHAW</w:t>
      </w:r>
      <w:r w:rsidRPr="0096792B">
        <w:rPr>
          <w:rFonts w:ascii="Times New Roman" w:hAnsi="Times New Roman" w:cs="Times New Roman"/>
          <w:sz w:val="24"/>
          <w:szCs w:val="24"/>
        </w:rPr>
        <w:t>, 2013) e produzem efeitos positivos sobre o desempenho organizacional no setor de serviços (</w:t>
      </w:r>
      <w:r w:rsidR="00F744C9" w:rsidRPr="0096792B">
        <w:rPr>
          <w:rFonts w:ascii="Times New Roman" w:hAnsi="Times New Roman" w:cs="Times New Roman"/>
          <w:sz w:val="24"/>
          <w:szCs w:val="24"/>
        </w:rPr>
        <w:t xml:space="preserve">DAMANPOUR </w:t>
      </w:r>
      <w:r w:rsidR="00F744C9" w:rsidRPr="0096792B">
        <w:rPr>
          <w:rFonts w:ascii="Times New Roman" w:hAnsi="Times New Roman" w:cs="Times New Roman"/>
          <w:i/>
          <w:sz w:val="24"/>
          <w:szCs w:val="24"/>
        </w:rPr>
        <w:t>et al</w:t>
      </w:r>
      <w:r w:rsidR="00F744C9" w:rsidRPr="0096792B">
        <w:rPr>
          <w:rFonts w:ascii="Times New Roman" w:hAnsi="Times New Roman" w:cs="Times New Roman"/>
          <w:sz w:val="24"/>
          <w:szCs w:val="24"/>
        </w:rPr>
        <w:t xml:space="preserve">., 2009; </w:t>
      </w:r>
      <w:r w:rsidR="00BF66D5" w:rsidRPr="0096792B">
        <w:rPr>
          <w:rFonts w:ascii="Times New Roman" w:hAnsi="Times New Roman" w:cs="Times New Roman"/>
          <w:sz w:val="24"/>
          <w:szCs w:val="24"/>
        </w:rPr>
        <w:t>SAPPRASERT; CLAUSEN, 2012</w:t>
      </w:r>
      <w:r w:rsidRPr="0096792B">
        <w:rPr>
          <w:rFonts w:ascii="Times New Roman" w:hAnsi="Times New Roman" w:cs="Times New Roman"/>
          <w:sz w:val="24"/>
          <w:szCs w:val="24"/>
        </w:rPr>
        <w:t xml:space="preserve">). O que se observa a partir desses estudos é que, de modo geral, os pesquisadores já incorporaram a dinâmica da inovação organizacional na análise do setor de serviços, sugerindo dar igual importância aos diversos tipos de inovação. É importante considerar nas pesquisas a </w:t>
      </w:r>
      <w:r w:rsidRPr="0096792B">
        <w:rPr>
          <w:rFonts w:ascii="Times New Roman" w:hAnsi="Times New Roman" w:cs="Times New Roman"/>
          <w:i/>
          <w:sz w:val="24"/>
          <w:szCs w:val="24"/>
        </w:rPr>
        <w:t>sincronicidade</w:t>
      </w:r>
      <w:r w:rsidRPr="0096792B">
        <w:rPr>
          <w:rFonts w:ascii="Times New Roman" w:hAnsi="Times New Roman" w:cs="Times New Roman"/>
          <w:sz w:val="24"/>
          <w:szCs w:val="24"/>
        </w:rPr>
        <w:t xml:space="preserve"> dos diferentes tipos de inovação (</w:t>
      </w:r>
      <w:r w:rsidR="00BF66D5" w:rsidRPr="0096792B">
        <w:rPr>
          <w:rFonts w:ascii="Times New Roman" w:hAnsi="Times New Roman" w:cs="Times New Roman"/>
          <w:noProof/>
          <w:sz w:val="24"/>
          <w:szCs w:val="24"/>
        </w:rPr>
        <w:t>DAMANPOUR</w:t>
      </w:r>
      <w:r w:rsidRPr="0096792B">
        <w:rPr>
          <w:rFonts w:ascii="Times New Roman" w:hAnsi="Times New Roman" w:cs="Times New Roman"/>
          <w:noProof/>
          <w:sz w:val="24"/>
          <w:szCs w:val="24"/>
        </w:rPr>
        <w:t>, 2014) e os efeitos combinados nas diferentes etapas do processo de inovação (</w:t>
      </w:r>
      <w:r w:rsidR="00BF66D5" w:rsidRPr="0096792B">
        <w:rPr>
          <w:rFonts w:ascii="Times New Roman" w:hAnsi="Times New Roman" w:cs="Times New Roman"/>
          <w:noProof/>
          <w:sz w:val="24"/>
          <w:szCs w:val="24"/>
        </w:rPr>
        <w:t>MOTHE; THI</w:t>
      </w:r>
      <w:r w:rsidRPr="0096792B">
        <w:rPr>
          <w:rFonts w:ascii="Times New Roman" w:hAnsi="Times New Roman" w:cs="Times New Roman"/>
          <w:noProof/>
          <w:sz w:val="24"/>
          <w:szCs w:val="24"/>
        </w:rPr>
        <w:t>, 2012)</w:t>
      </w:r>
      <w:r w:rsidRPr="0096792B">
        <w:rPr>
          <w:rFonts w:ascii="Times New Roman" w:hAnsi="Times New Roman" w:cs="Times New Roman"/>
          <w:sz w:val="24"/>
          <w:szCs w:val="24"/>
        </w:rPr>
        <w:t>.</w:t>
      </w:r>
    </w:p>
    <w:p w:rsidR="00170992" w:rsidRPr="0096792B" w:rsidRDefault="00170992" w:rsidP="0096792B">
      <w:pPr>
        <w:widowControl w:val="0"/>
        <w:spacing w:after="240" w:line="480" w:lineRule="auto"/>
        <w:rPr>
          <w:rFonts w:ascii="Times New Roman" w:hAnsi="Times New Roman" w:cs="Times New Roman"/>
          <w:i/>
          <w:sz w:val="24"/>
          <w:szCs w:val="24"/>
        </w:rPr>
      </w:pPr>
      <w:r w:rsidRPr="0096792B">
        <w:rPr>
          <w:rFonts w:ascii="Times New Roman" w:hAnsi="Times New Roman" w:cs="Times New Roman"/>
          <w:i/>
          <w:sz w:val="24"/>
          <w:szCs w:val="24"/>
        </w:rPr>
        <w:t>2.3. Recursos humanos</w:t>
      </w:r>
    </w:p>
    <w:p w:rsidR="00312647" w:rsidRDefault="00170992" w:rsidP="0096792B">
      <w:pPr>
        <w:widowControl w:val="0"/>
        <w:spacing w:after="240" w:line="480" w:lineRule="auto"/>
        <w:ind w:firstLine="708"/>
        <w:rPr>
          <w:rFonts w:ascii="Times New Roman" w:hAnsi="Times New Roman" w:cs="Times New Roman"/>
          <w:sz w:val="24"/>
          <w:szCs w:val="24"/>
          <w:shd w:val="clear" w:color="auto" w:fill="FFFFFF"/>
        </w:rPr>
      </w:pPr>
      <w:r w:rsidRPr="0096792B">
        <w:rPr>
          <w:rFonts w:ascii="Times New Roman" w:hAnsi="Times New Roman" w:cs="Times New Roman"/>
          <w:sz w:val="24"/>
          <w:szCs w:val="24"/>
          <w:shd w:val="clear" w:color="auto" w:fill="FFFFFF"/>
        </w:rPr>
        <w:t>Bernardes e Kallup (2007) afirmam que SICs como o setor de TI são caracterizados pela utilização de recursos humanos mais qualificados, em comparação a outros setores da economia. Costuma haver uma maior proporção de trabalhadores com ensino superior e formação contínua (</w:t>
      </w:r>
      <w:r w:rsidR="00BF66D5" w:rsidRPr="0096792B">
        <w:rPr>
          <w:rFonts w:ascii="Times New Roman" w:hAnsi="Times New Roman" w:cs="Times New Roman"/>
          <w:sz w:val="24"/>
          <w:szCs w:val="24"/>
          <w:shd w:val="clear" w:color="auto" w:fill="FFFFFF"/>
        </w:rPr>
        <w:t>NÄHLINDER</w:t>
      </w:r>
      <w:r w:rsidRPr="0096792B">
        <w:rPr>
          <w:rFonts w:ascii="Times New Roman" w:hAnsi="Times New Roman" w:cs="Times New Roman"/>
          <w:sz w:val="24"/>
          <w:szCs w:val="24"/>
          <w:shd w:val="clear" w:color="auto" w:fill="FFFFFF"/>
        </w:rPr>
        <w:t xml:space="preserve">, 2005). </w:t>
      </w:r>
      <w:r w:rsidR="00B95502">
        <w:rPr>
          <w:rFonts w:ascii="Times New Roman" w:hAnsi="Times New Roman" w:cs="Times New Roman"/>
          <w:sz w:val="24"/>
          <w:szCs w:val="24"/>
          <w:shd w:val="clear" w:color="auto" w:fill="FFFFFF"/>
        </w:rPr>
        <w:t>A</w:t>
      </w:r>
      <w:r w:rsidR="00B95502" w:rsidRPr="00B95502">
        <w:rPr>
          <w:rFonts w:ascii="Times New Roman" w:hAnsi="Times New Roman" w:cs="Times New Roman"/>
          <w:sz w:val="24"/>
          <w:szCs w:val="24"/>
          <w:shd w:val="clear" w:color="auto" w:fill="FFFFFF"/>
        </w:rPr>
        <w:t xml:space="preserve"> formação dos profissionais de TI </w:t>
      </w:r>
      <w:r w:rsidR="00B95502">
        <w:rPr>
          <w:rFonts w:ascii="Times New Roman" w:hAnsi="Times New Roman" w:cs="Times New Roman"/>
          <w:sz w:val="24"/>
          <w:szCs w:val="24"/>
          <w:shd w:val="clear" w:color="auto" w:fill="FFFFFF"/>
        </w:rPr>
        <w:t xml:space="preserve">é diversificada e não há uma </w:t>
      </w:r>
      <w:r w:rsidR="00B95502" w:rsidRPr="00B95502">
        <w:rPr>
          <w:rFonts w:ascii="Times New Roman" w:hAnsi="Times New Roman" w:cs="Times New Roman"/>
          <w:sz w:val="24"/>
          <w:szCs w:val="24"/>
          <w:shd w:val="clear" w:color="auto" w:fill="FFFFFF"/>
        </w:rPr>
        <w:t xml:space="preserve">regulamentação </w:t>
      </w:r>
      <w:r w:rsidR="00B95502">
        <w:rPr>
          <w:rFonts w:ascii="Times New Roman" w:hAnsi="Times New Roman" w:cs="Times New Roman"/>
          <w:sz w:val="24"/>
          <w:szCs w:val="24"/>
          <w:shd w:val="clear" w:color="auto" w:fill="FFFFFF"/>
        </w:rPr>
        <w:t>profissional</w:t>
      </w:r>
      <w:r w:rsidR="00B95502" w:rsidRPr="00B95502">
        <w:rPr>
          <w:rFonts w:ascii="Times New Roman" w:hAnsi="Times New Roman" w:cs="Times New Roman"/>
          <w:sz w:val="24"/>
          <w:szCs w:val="24"/>
          <w:shd w:val="clear" w:color="auto" w:fill="FFFFFF"/>
        </w:rPr>
        <w:t xml:space="preserve">. </w:t>
      </w:r>
      <w:r w:rsidR="00B95502">
        <w:rPr>
          <w:rFonts w:ascii="Times New Roman" w:hAnsi="Times New Roman" w:cs="Times New Roman"/>
          <w:sz w:val="24"/>
          <w:szCs w:val="24"/>
          <w:shd w:val="clear" w:color="auto" w:fill="FFFFFF"/>
        </w:rPr>
        <w:t xml:space="preserve">Segundo Bigonha (2016), devido à </w:t>
      </w:r>
      <w:r w:rsidR="00B95502" w:rsidRPr="00B95502">
        <w:rPr>
          <w:rFonts w:ascii="Times New Roman" w:hAnsi="Times New Roman" w:cs="Times New Roman"/>
          <w:sz w:val="24"/>
          <w:szCs w:val="24"/>
          <w:shd w:val="clear" w:color="auto" w:fill="FFFFFF"/>
        </w:rPr>
        <w:t>inexistência de parâmetros de um perfil de formação próprio ao profissional de TI, pessoas provenientes de qualquer área de formação</w:t>
      </w:r>
      <w:r w:rsidR="00B15251">
        <w:rPr>
          <w:rFonts w:ascii="Times New Roman" w:hAnsi="Times New Roman" w:cs="Times New Roman"/>
          <w:sz w:val="24"/>
          <w:szCs w:val="24"/>
          <w:shd w:val="clear" w:color="auto" w:fill="FFFFFF"/>
        </w:rPr>
        <w:t xml:space="preserve"> vêm atuando na área</w:t>
      </w:r>
      <w:r w:rsidR="00B95502" w:rsidRPr="00B95502">
        <w:rPr>
          <w:rFonts w:ascii="Times New Roman" w:hAnsi="Times New Roman" w:cs="Times New Roman"/>
          <w:sz w:val="24"/>
          <w:szCs w:val="24"/>
          <w:shd w:val="clear" w:color="auto" w:fill="FFFFFF"/>
        </w:rPr>
        <w:t>.</w:t>
      </w:r>
    </w:p>
    <w:p w:rsidR="008723D6" w:rsidRDefault="00170992" w:rsidP="0096792B">
      <w:pPr>
        <w:widowControl w:val="0"/>
        <w:spacing w:after="240" w:line="480" w:lineRule="auto"/>
        <w:ind w:firstLine="708"/>
        <w:rPr>
          <w:rFonts w:ascii="Times New Roman" w:hAnsi="Times New Roman" w:cs="Times New Roman"/>
          <w:sz w:val="24"/>
          <w:szCs w:val="24"/>
          <w:shd w:val="clear" w:color="auto" w:fill="FFFFFF"/>
        </w:rPr>
      </w:pPr>
      <w:r w:rsidRPr="0096792B">
        <w:rPr>
          <w:rFonts w:ascii="Times New Roman" w:hAnsi="Times New Roman" w:cs="Times New Roman"/>
          <w:sz w:val="24"/>
          <w:szCs w:val="24"/>
          <w:shd w:val="clear" w:color="auto" w:fill="FFFFFF"/>
        </w:rPr>
        <w:t xml:space="preserve">No </w:t>
      </w:r>
      <w:r w:rsidR="00312647">
        <w:rPr>
          <w:rFonts w:ascii="Times New Roman" w:hAnsi="Times New Roman" w:cs="Times New Roman"/>
          <w:sz w:val="24"/>
          <w:szCs w:val="24"/>
          <w:shd w:val="clear" w:color="auto" w:fill="FFFFFF"/>
        </w:rPr>
        <w:t xml:space="preserve">contexto </w:t>
      </w:r>
      <w:r w:rsidRPr="0096792B">
        <w:rPr>
          <w:rFonts w:ascii="Times New Roman" w:hAnsi="Times New Roman" w:cs="Times New Roman"/>
          <w:sz w:val="24"/>
          <w:szCs w:val="24"/>
          <w:shd w:val="clear" w:color="auto" w:fill="FFFFFF"/>
        </w:rPr>
        <w:t>brasileiro, 36.756 de um total de 624.108 profissionais de TI concluíram a graduação na área da computação e 108.124 estão matriculados em cursos técnico-profissionalizantes da área (</w:t>
      </w:r>
      <w:r w:rsidR="00BF66D5" w:rsidRPr="0096792B">
        <w:rPr>
          <w:rFonts w:ascii="Times New Roman" w:hAnsi="Times New Roman" w:cs="Times New Roman"/>
          <w:sz w:val="24"/>
          <w:szCs w:val="24"/>
          <w:shd w:val="clear" w:color="auto" w:fill="FFFFFF"/>
        </w:rPr>
        <w:t>SOFTEX</w:t>
      </w:r>
      <w:r w:rsidRPr="0096792B">
        <w:rPr>
          <w:rFonts w:ascii="Times New Roman" w:hAnsi="Times New Roman" w:cs="Times New Roman"/>
          <w:sz w:val="24"/>
          <w:szCs w:val="24"/>
          <w:shd w:val="clear" w:color="auto" w:fill="FFFFFF"/>
        </w:rPr>
        <w:t>, 2015). Apesar do grande número de matriculados e da alta qualificação técnica, um dos desafios tem sido a adequação dos profissionais ao novo perfil de mão de obra exigido pelas empresas. Há uma mudança significativa em torno do “perfil ideal desejado”, exigindo preparo técnico</w:t>
      </w:r>
      <w:r w:rsidR="009C3039">
        <w:rPr>
          <w:rFonts w:ascii="Times New Roman" w:hAnsi="Times New Roman" w:cs="Times New Roman"/>
          <w:sz w:val="24"/>
          <w:szCs w:val="24"/>
          <w:shd w:val="clear" w:color="auto" w:fill="FFFFFF"/>
        </w:rPr>
        <w:t>,</w:t>
      </w:r>
      <w:r w:rsidRPr="0096792B">
        <w:rPr>
          <w:rFonts w:ascii="Times New Roman" w:hAnsi="Times New Roman" w:cs="Times New Roman"/>
          <w:sz w:val="24"/>
          <w:szCs w:val="24"/>
          <w:shd w:val="clear" w:color="auto" w:fill="FFFFFF"/>
        </w:rPr>
        <w:t xml:space="preserve"> comportamental</w:t>
      </w:r>
      <w:r w:rsidR="009C3039">
        <w:rPr>
          <w:rFonts w:ascii="Times New Roman" w:hAnsi="Times New Roman" w:cs="Times New Roman"/>
          <w:sz w:val="24"/>
          <w:szCs w:val="24"/>
          <w:shd w:val="clear" w:color="auto" w:fill="FFFFFF"/>
        </w:rPr>
        <w:t xml:space="preserve"> e gerencial</w:t>
      </w:r>
      <w:r w:rsidRPr="0096792B">
        <w:rPr>
          <w:rFonts w:ascii="Times New Roman" w:hAnsi="Times New Roman" w:cs="Times New Roman"/>
          <w:sz w:val="24"/>
          <w:szCs w:val="24"/>
          <w:shd w:val="clear" w:color="auto" w:fill="FFFFFF"/>
        </w:rPr>
        <w:t xml:space="preserve">, voltado para características como autonomia, criatividade, flexibilidade, iniciativa, trabalho em equipe e </w:t>
      </w:r>
      <w:r w:rsidRPr="0096792B">
        <w:rPr>
          <w:rFonts w:ascii="Times New Roman" w:hAnsi="Times New Roman" w:cs="Times New Roman"/>
          <w:sz w:val="24"/>
          <w:szCs w:val="24"/>
          <w:shd w:val="clear" w:color="auto" w:fill="FFFFFF"/>
        </w:rPr>
        <w:lastRenderedPageBreak/>
        <w:t>autodesenvolvimento</w:t>
      </w:r>
      <w:r w:rsidR="00BF66D5" w:rsidRPr="0096792B">
        <w:rPr>
          <w:rFonts w:ascii="Times New Roman" w:hAnsi="Times New Roman" w:cs="Times New Roman"/>
          <w:sz w:val="24"/>
          <w:szCs w:val="24"/>
          <w:shd w:val="clear" w:color="auto" w:fill="FFFFFF"/>
        </w:rPr>
        <w:t xml:space="preserve"> (SOFTEX, 2015)</w:t>
      </w:r>
      <w:r w:rsidRPr="0096792B">
        <w:rPr>
          <w:rFonts w:ascii="Times New Roman" w:hAnsi="Times New Roman" w:cs="Times New Roman"/>
          <w:sz w:val="24"/>
          <w:szCs w:val="24"/>
          <w:shd w:val="clear" w:color="auto" w:fill="FFFFFF"/>
        </w:rPr>
        <w:t xml:space="preserve">. </w:t>
      </w:r>
      <w:r w:rsidR="00312647">
        <w:rPr>
          <w:rFonts w:ascii="Times New Roman" w:hAnsi="Times New Roman" w:cs="Times New Roman"/>
          <w:sz w:val="24"/>
          <w:szCs w:val="24"/>
          <w:shd w:val="clear" w:color="auto" w:fill="FFFFFF"/>
        </w:rPr>
        <w:t>E</w:t>
      </w:r>
      <w:r w:rsidRPr="0096792B">
        <w:rPr>
          <w:rFonts w:ascii="Times New Roman" w:hAnsi="Times New Roman" w:cs="Times New Roman"/>
          <w:sz w:val="24"/>
          <w:szCs w:val="24"/>
          <w:shd w:val="clear" w:color="auto" w:fill="FFFFFF"/>
        </w:rPr>
        <w:t>ssa mudança no perfil do profissional emerge em um contexto de déficit de 408 mil profissionais estimado para 2022 (</w:t>
      </w:r>
      <w:r w:rsidR="0025013D" w:rsidRPr="0096792B">
        <w:rPr>
          <w:rFonts w:ascii="Times New Roman" w:hAnsi="Times New Roman" w:cs="Times New Roman"/>
          <w:sz w:val="24"/>
          <w:szCs w:val="24"/>
          <w:shd w:val="clear" w:color="auto" w:fill="FFFFFF"/>
        </w:rPr>
        <w:t>SOFTEX</w:t>
      </w:r>
      <w:r w:rsidRPr="0096792B">
        <w:rPr>
          <w:rFonts w:ascii="Times New Roman" w:hAnsi="Times New Roman" w:cs="Times New Roman"/>
          <w:sz w:val="24"/>
          <w:szCs w:val="24"/>
          <w:shd w:val="clear" w:color="auto" w:fill="FFFFFF"/>
        </w:rPr>
        <w:t xml:space="preserve">, 2015). </w:t>
      </w:r>
      <w:r w:rsidR="006F1E85">
        <w:rPr>
          <w:rFonts w:ascii="Times New Roman" w:hAnsi="Times New Roman" w:cs="Times New Roman"/>
          <w:sz w:val="24"/>
          <w:szCs w:val="24"/>
          <w:shd w:val="clear" w:color="auto" w:fill="FFFFFF"/>
        </w:rPr>
        <w:t>A</w:t>
      </w:r>
      <w:r w:rsidRPr="0096792B">
        <w:rPr>
          <w:rFonts w:ascii="Times New Roman" w:hAnsi="Times New Roman" w:cs="Times New Roman"/>
          <w:sz w:val="24"/>
          <w:szCs w:val="24"/>
          <w:shd w:val="clear" w:color="auto" w:fill="FFFFFF"/>
        </w:rPr>
        <w:t xml:space="preserve"> falta de pessoal não somente em termos de qualificação, mas também quantitativos, para a geração de novas ideias e execução de projetos passa a ser um desafio ao desenvolvimento de novos produtos e/ou serviços em TI.</w:t>
      </w:r>
    </w:p>
    <w:p w:rsidR="00170992" w:rsidRPr="0096792B" w:rsidRDefault="00170992" w:rsidP="0096792B">
      <w:pPr>
        <w:widowControl w:val="0"/>
        <w:spacing w:after="240" w:line="480" w:lineRule="auto"/>
        <w:ind w:firstLine="708"/>
        <w:rPr>
          <w:rFonts w:ascii="Times New Roman" w:hAnsi="Times New Roman" w:cs="Times New Roman"/>
          <w:sz w:val="24"/>
          <w:szCs w:val="24"/>
          <w:shd w:val="clear" w:color="auto" w:fill="FFFFFF"/>
        </w:rPr>
      </w:pPr>
      <w:r w:rsidRPr="0096792B">
        <w:rPr>
          <w:rFonts w:ascii="Times New Roman" w:hAnsi="Times New Roman" w:cs="Times New Roman"/>
          <w:sz w:val="24"/>
          <w:szCs w:val="24"/>
          <w:shd w:val="clear" w:color="auto" w:fill="FFFFFF"/>
        </w:rPr>
        <w:t xml:space="preserve">Isso tem demandado novas estratégias de formação não somente dos profissionais de TI, mas também dos gestores. Para Denizot (2014), as empresas de TI precisam lidar com a falta de conhecimentos sobre a gestão de negócios por parte de seus dirigentes. Comumente fundadas em torno da experiência deles, essas empresas baseiam-se em conhecimentos </w:t>
      </w:r>
      <w:r w:rsidR="00A14854" w:rsidRPr="0096792B">
        <w:rPr>
          <w:rFonts w:ascii="Times New Roman" w:hAnsi="Times New Roman" w:cs="Times New Roman"/>
          <w:sz w:val="24"/>
          <w:szCs w:val="24"/>
          <w:shd w:val="clear" w:color="auto" w:fill="FFFFFF"/>
        </w:rPr>
        <w:t>técnicos (e não gerenciais)</w:t>
      </w:r>
      <w:r w:rsidRPr="0096792B">
        <w:rPr>
          <w:rFonts w:ascii="Times New Roman" w:hAnsi="Times New Roman" w:cs="Times New Roman"/>
          <w:sz w:val="24"/>
          <w:szCs w:val="24"/>
          <w:shd w:val="clear" w:color="auto" w:fill="FFFFFF"/>
        </w:rPr>
        <w:t>, o que pode comprometer seu desempenho.</w:t>
      </w:r>
      <w:r w:rsidR="00C424BE">
        <w:t xml:space="preserve"> </w:t>
      </w:r>
      <w:r w:rsidR="00C424BE">
        <w:rPr>
          <w:rFonts w:ascii="Times New Roman" w:hAnsi="Times New Roman" w:cs="Times New Roman"/>
          <w:sz w:val="24"/>
          <w:szCs w:val="24"/>
          <w:shd w:val="clear" w:color="auto" w:fill="FFFFFF"/>
        </w:rPr>
        <w:t>Re</w:t>
      </w:r>
      <w:r w:rsidR="00C424BE" w:rsidRPr="00C424BE">
        <w:rPr>
          <w:rFonts w:ascii="Times New Roman" w:hAnsi="Times New Roman" w:cs="Times New Roman"/>
          <w:sz w:val="24"/>
          <w:szCs w:val="24"/>
          <w:shd w:val="clear" w:color="auto" w:fill="FFFFFF"/>
        </w:rPr>
        <w:t>lacionamento interpessoal, visão estratégica</w:t>
      </w:r>
      <w:r w:rsidR="00942A8F">
        <w:rPr>
          <w:rFonts w:ascii="Times New Roman" w:hAnsi="Times New Roman" w:cs="Times New Roman"/>
          <w:sz w:val="24"/>
          <w:szCs w:val="24"/>
          <w:shd w:val="clear" w:color="auto" w:fill="FFFFFF"/>
        </w:rPr>
        <w:t xml:space="preserve"> </w:t>
      </w:r>
      <w:r w:rsidR="001E6D67">
        <w:rPr>
          <w:rFonts w:ascii="Times New Roman" w:hAnsi="Times New Roman" w:cs="Times New Roman"/>
          <w:sz w:val="24"/>
          <w:szCs w:val="24"/>
          <w:shd w:val="clear" w:color="auto" w:fill="FFFFFF"/>
        </w:rPr>
        <w:t xml:space="preserve">do negócio </w:t>
      </w:r>
      <w:r w:rsidR="00942A8F">
        <w:rPr>
          <w:rFonts w:ascii="Times New Roman" w:hAnsi="Times New Roman" w:cs="Times New Roman"/>
          <w:sz w:val="24"/>
          <w:szCs w:val="24"/>
          <w:shd w:val="clear" w:color="auto" w:fill="FFFFFF"/>
        </w:rPr>
        <w:t>e</w:t>
      </w:r>
      <w:r w:rsidR="00C424BE" w:rsidRPr="00C424BE">
        <w:rPr>
          <w:rFonts w:ascii="Times New Roman" w:hAnsi="Times New Roman" w:cs="Times New Roman"/>
          <w:sz w:val="24"/>
          <w:szCs w:val="24"/>
          <w:shd w:val="clear" w:color="auto" w:fill="FFFFFF"/>
        </w:rPr>
        <w:t xml:space="preserve"> d</w:t>
      </w:r>
      <w:r w:rsidR="00C80029">
        <w:rPr>
          <w:rFonts w:ascii="Times New Roman" w:hAnsi="Times New Roman" w:cs="Times New Roman"/>
          <w:sz w:val="24"/>
          <w:szCs w:val="24"/>
          <w:shd w:val="clear" w:color="auto" w:fill="FFFFFF"/>
        </w:rPr>
        <w:t>a</w:t>
      </w:r>
      <w:r w:rsidR="00C424BE" w:rsidRPr="00C424BE">
        <w:rPr>
          <w:rFonts w:ascii="Times New Roman" w:hAnsi="Times New Roman" w:cs="Times New Roman"/>
          <w:sz w:val="24"/>
          <w:szCs w:val="24"/>
          <w:shd w:val="clear" w:color="auto" w:fill="FFFFFF"/>
        </w:rPr>
        <w:t xml:space="preserve"> tecnologia</w:t>
      </w:r>
      <w:r w:rsidR="00B300F2">
        <w:rPr>
          <w:rFonts w:ascii="Times New Roman" w:hAnsi="Times New Roman" w:cs="Times New Roman"/>
          <w:sz w:val="24"/>
          <w:szCs w:val="24"/>
          <w:shd w:val="clear" w:color="auto" w:fill="FFFFFF"/>
        </w:rPr>
        <w:t>, bem como o</w:t>
      </w:r>
      <w:r w:rsidR="005E2D23">
        <w:rPr>
          <w:rFonts w:ascii="Times New Roman" w:hAnsi="Times New Roman" w:cs="Times New Roman"/>
          <w:sz w:val="24"/>
          <w:szCs w:val="24"/>
          <w:shd w:val="clear" w:color="auto" w:fill="FFFFFF"/>
        </w:rPr>
        <w:t xml:space="preserve"> domínio dos</w:t>
      </w:r>
      <w:r w:rsidR="00C424BE" w:rsidRPr="00C424BE">
        <w:rPr>
          <w:rFonts w:ascii="Times New Roman" w:hAnsi="Times New Roman" w:cs="Times New Roman"/>
          <w:sz w:val="24"/>
          <w:szCs w:val="24"/>
          <w:shd w:val="clear" w:color="auto" w:fill="FFFFFF"/>
        </w:rPr>
        <w:t xml:space="preserve"> processos e técnicas gerenciais </w:t>
      </w:r>
      <w:r w:rsidR="00C424BE">
        <w:rPr>
          <w:rFonts w:ascii="Times New Roman" w:hAnsi="Times New Roman" w:cs="Times New Roman"/>
          <w:sz w:val="24"/>
          <w:szCs w:val="24"/>
          <w:shd w:val="clear" w:color="auto" w:fill="FFFFFF"/>
        </w:rPr>
        <w:t xml:space="preserve">são </w:t>
      </w:r>
      <w:r w:rsidR="00D54B4F">
        <w:rPr>
          <w:rFonts w:ascii="Times New Roman" w:hAnsi="Times New Roman" w:cs="Times New Roman"/>
          <w:sz w:val="24"/>
          <w:szCs w:val="24"/>
          <w:shd w:val="clear" w:color="auto" w:fill="FFFFFF"/>
        </w:rPr>
        <w:t xml:space="preserve">algumas das </w:t>
      </w:r>
      <w:r w:rsidR="00C424BE">
        <w:rPr>
          <w:rFonts w:ascii="Times New Roman" w:hAnsi="Times New Roman" w:cs="Times New Roman"/>
          <w:sz w:val="24"/>
          <w:szCs w:val="24"/>
          <w:shd w:val="clear" w:color="auto" w:fill="FFFFFF"/>
        </w:rPr>
        <w:t xml:space="preserve">competências-chave para um executivo ou </w:t>
      </w:r>
      <w:r w:rsidR="00C424BE">
        <w:rPr>
          <w:rFonts w:ascii="Times New Roman" w:hAnsi="Times New Roman" w:cs="Times New Roman"/>
          <w:i/>
          <w:sz w:val="24"/>
          <w:szCs w:val="24"/>
          <w:shd w:val="clear" w:color="auto" w:fill="FFFFFF"/>
        </w:rPr>
        <w:t xml:space="preserve">Chief Executive Officer </w:t>
      </w:r>
      <w:r w:rsidR="00C424BE" w:rsidRPr="00C424BE">
        <w:rPr>
          <w:rFonts w:ascii="Times New Roman" w:hAnsi="Times New Roman" w:cs="Times New Roman"/>
          <w:sz w:val="24"/>
          <w:szCs w:val="24"/>
          <w:shd w:val="clear" w:color="auto" w:fill="FFFFFF"/>
        </w:rPr>
        <w:t>(</w:t>
      </w:r>
      <w:r w:rsidR="00C424BE">
        <w:rPr>
          <w:rFonts w:ascii="Times New Roman" w:hAnsi="Times New Roman" w:cs="Times New Roman"/>
          <w:sz w:val="24"/>
          <w:szCs w:val="24"/>
          <w:shd w:val="clear" w:color="auto" w:fill="FFFFFF"/>
        </w:rPr>
        <w:t>C</w:t>
      </w:r>
      <w:r w:rsidR="00C424BE" w:rsidRPr="00C424BE">
        <w:rPr>
          <w:rFonts w:ascii="Times New Roman" w:hAnsi="Times New Roman" w:cs="Times New Roman"/>
          <w:sz w:val="24"/>
          <w:szCs w:val="24"/>
          <w:shd w:val="clear" w:color="auto" w:fill="FFFFFF"/>
        </w:rPr>
        <w:t>EO</w:t>
      </w:r>
      <w:r w:rsidR="00C424BE">
        <w:rPr>
          <w:rFonts w:ascii="Times New Roman" w:hAnsi="Times New Roman" w:cs="Times New Roman"/>
          <w:sz w:val="24"/>
          <w:szCs w:val="24"/>
          <w:shd w:val="clear" w:color="auto" w:fill="FFFFFF"/>
        </w:rPr>
        <w:t>)</w:t>
      </w:r>
      <w:r w:rsidR="00C424BE" w:rsidRPr="00C424BE">
        <w:rPr>
          <w:rFonts w:ascii="Times New Roman" w:hAnsi="Times New Roman" w:cs="Times New Roman"/>
          <w:sz w:val="24"/>
          <w:szCs w:val="24"/>
          <w:shd w:val="clear" w:color="auto" w:fill="FFFFFF"/>
        </w:rPr>
        <w:t xml:space="preserve"> </w:t>
      </w:r>
      <w:r w:rsidR="00C424BE">
        <w:rPr>
          <w:rFonts w:ascii="Times New Roman" w:hAnsi="Times New Roman" w:cs="Times New Roman"/>
          <w:sz w:val="24"/>
          <w:szCs w:val="24"/>
          <w:shd w:val="clear" w:color="auto" w:fill="FFFFFF"/>
        </w:rPr>
        <w:t xml:space="preserve">no setor de TI (LUCIANO </w:t>
      </w:r>
      <w:r w:rsidR="00C424BE" w:rsidRPr="00942A8F">
        <w:rPr>
          <w:rFonts w:ascii="Times New Roman" w:hAnsi="Times New Roman" w:cs="Times New Roman"/>
          <w:i/>
          <w:sz w:val="24"/>
          <w:szCs w:val="24"/>
          <w:shd w:val="clear" w:color="auto" w:fill="FFFFFF"/>
        </w:rPr>
        <w:t>et al</w:t>
      </w:r>
      <w:r w:rsidR="00C424BE">
        <w:rPr>
          <w:rFonts w:ascii="Times New Roman" w:hAnsi="Times New Roman" w:cs="Times New Roman"/>
          <w:sz w:val="24"/>
          <w:szCs w:val="24"/>
          <w:shd w:val="clear" w:color="auto" w:fill="FFFFFF"/>
        </w:rPr>
        <w:t>., 2012).</w:t>
      </w:r>
    </w:p>
    <w:p w:rsidR="00170992" w:rsidRPr="0096792B" w:rsidRDefault="00103F0C" w:rsidP="0096792B">
      <w:pPr>
        <w:widowControl w:val="0"/>
        <w:spacing w:after="240" w:line="480" w:lineRule="auto"/>
        <w:ind w:firstLine="708"/>
        <w:rPr>
          <w:rFonts w:ascii="Times New Roman" w:hAnsi="Times New Roman" w:cs="Times New Roman"/>
          <w:sz w:val="24"/>
          <w:szCs w:val="24"/>
          <w:shd w:val="clear" w:color="auto" w:fill="FFFFFF"/>
        </w:rPr>
      </w:pPr>
      <w:r w:rsidRPr="0096792B">
        <w:rPr>
          <w:rFonts w:ascii="Times New Roman" w:hAnsi="Times New Roman" w:cs="Times New Roman"/>
          <w:sz w:val="24"/>
          <w:szCs w:val="24"/>
          <w:shd w:val="clear" w:color="auto" w:fill="FFFFFF"/>
        </w:rPr>
        <w:t>Além dessa</w:t>
      </w:r>
      <w:r w:rsidR="00170992" w:rsidRPr="0096792B">
        <w:rPr>
          <w:rFonts w:ascii="Times New Roman" w:hAnsi="Times New Roman" w:cs="Times New Roman"/>
          <w:sz w:val="24"/>
          <w:szCs w:val="24"/>
          <w:shd w:val="clear" w:color="auto" w:fill="FFFFFF"/>
        </w:rPr>
        <w:t xml:space="preserve"> discussão sobre a qualificação dos profissionais do setor</w:t>
      </w:r>
      <w:r w:rsidRPr="0096792B">
        <w:rPr>
          <w:rFonts w:ascii="Times New Roman" w:hAnsi="Times New Roman" w:cs="Times New Roman"/>
          <w:sz w:val="24"/>
          <w:szCs w:val="24"/>
          <w:shd w:val="clear" w:color="auto" w:fill="FFFFFF"/>
        </w:rPr>
        <w:t>,</w:t>
      </w:r>
      <w:r w:rsidR="00170992" w:rsidRPr="0096792B">
        <w:rPr>
          <w:rFonts w:ascii="Times New Roman" w:hAnsi="Times New Roman" w:cs="Times New Roman"/>
          <w:sz w:val="24"/>
          <w:szCs w:val="24"/>
          <w:shd w:val="clear" w:color="auto" w:fill="FFFFFF"/>
        </w:rPr>
        <w:t xml:space="preserve"> não </w:t>
      </w:r>
      <w:r w:rsidRPr="0096792B">
        <w:rPr>
          <w:rFonts w:ascii="Times New Roman" w:hAnsi="Times New Roman" w:cs="Times New Roman"/>
          <w:sz w:val="24"/>
          <w:szCs w:val="24"/>
          <w:shd w:val="clear" w:color="auto" w:fill="FFFFFF"/>
        </w:rPr>
        <w:t xml:space="preserve">se </w:t>
      </w:r>
      <w:r w:rsidR="00170992" w:rsidRPr="0096792B">
        <w:rPr>
          <w:rFonts w:ascii="Times New Roman" w:hAnsi="Times New Roman" w:cs="Times New Roman"/>
          <w:sz w:val="24"/>
          <w:szCs w:val="24"/>
          <w:shd w:val="clear" w:color="auto" w:fill="FFFFFF"/>
        </w:rPr>
        <w:t xml:space="preserve">pode perder de vista as próprias características demográficas dos profissionais que </w:t>
      </w:r>
      <w:r w:rsidRPr="0096792B">
        <w:rPr>
          <w:rFonts w:ascii="Times New Roman" w:hAnsi="Times New Roman" w:cs="Times New Roman"/>
          <w:sz w:val="24"/>
          <w:szCs w:val="24"/>
          <w:shd w:val="clear" w:color="auto" w:fill="FFFFFF"/>
        </w:rPr>
        <w:t xml:space="preserve">nele </w:t>
      </w:r>
      <w:r w:rsidR="00170992" w:rsidRPr="0096792B">
        <w:rPr>
          <w:rFonts w:ascii="Times New Roman" w:hAnsi="Times New Roman" w:cs="Times New Roman"/>
          <w:sz w:val="24"/>
          <w:szCs w:val="24"/>
          <w:shd w:val="clear" w:color="auto" w:fill="FFFFFF"/>
        </w:rPr>
        <w:t xml:space="preserve">atuam. Baseando-se no Censo Demográfico do IBGE de 2010, Souza (2016) aponta para um predomínio de homens (78,8%), </w:t>
      </w:r>
      <w:r w:rsidRPr="0096792B">
        <w:rPr>
          <w:rFonts w:ascii="Times New Roman" w:hAnsi="Times New Roman" w:cs="Times New Roman"/>
          <w:sz w:val="24"/>
          <w:szCs w:val="24"/>
          <w:shd w:val="clear" w:color="auto" w:fill="FFFFFF"/>
        </w:rPr>
        <w:t xml:space="preserve">com idade </w:t>
      </w:r>
      <w:r w:rsidR="00170992" w:rsidRPr="0096792B">
        <w:rPr>
          <w:rFonts w:ascii="Times New Roman" w:hAnsi="Times New Roman" w:cs="Times New Roman"/>
          <w:sz w:val="24"/>
          <w:szCs w:val="24"/>
          <w:shd w:val="clear" w:color="auto" w:fill="FFFFFF"/>
        </w:rPr>
        <w:t xml:space="preserve">entre 25 e 31 anos e </w:t>
      </w:r>
      <w:r w:rsidRPr="0096792B">
        <w:rPr>
          <w:rFonts w:ascii="Times New Roman" w:hAnsi="Times New Roman" w:cs="Times New Roman"/>
          <w:sz w:val="24"/>
          <w:szCs w:val="24"/>
          <w:shd w:val="clear" w:color="auto" w:fill="FFFFFF"/>
        </w:rPr>
        <w:t xml:space="preserve">com </w:t>
      </w:r>
      <w:r w:rsidR="00170992" w:rsidRPr="0096792B">
        <w:rPr>
          <w:rFonts w:ascii="Times New Roman" w:hAnsi="Times New Roman" w:cs="Times New Roman"/>
          <w:sz w:val="24"/>
          <w:szCs w:val="24"/>
          <w:shd w:val="clear" w:color="auto" w:fill="FFFFFF"/>
        </w:rPr>
        <w:t>alta qualificação</w:t>
      </w:r>
      <w:r w:rsidRPr="0096792B">
        <w:rPr>
          <w:rFonts w:ascii="Times New Roman" w:hAnsi="Times New Roman" w:cs="Times New Roman"/>
          <w:sz w:val="24"/>
          <w:szCs w:val="24"/>
          <w:shd w:val="clear" w:color="auto" w:fill="FFFFFF"/>
        </w:rPr>
        <w:t xml:space="preserve"> – </w:t>
      </w:r>
      <w:r w:rsidR="00170992" w:rsidRPr="0096792B">
        <w:rPr>
          <w:rFonts w:ascii="Times New Roman" w:hAnsi="Times New Roman" w:cs="Times New Roman"/>
          <w:sz w:val="24"/>
          <w:szCs w:val="24"/>
          <w:shd w:val="clear" w:color="auto" w:fill="FFFFFF"/>
        </w:rPr>
        <w:t xml:space="preserve">em torno de 60% </w:t>
      </w:r>
      <w:r w:rsidRPr="0096792B">
        <w:rPr>
          <w:rFonts w:ascii="Times New Roman" w:hAnsi="Times New Roman" w:cs="Times New Roman"/>
          <w:sz w:val="24"/>
          <w:szCs w:val="24"/>
          <w:shd w:val="clear" w:color="auto" w:fill="FFFFFF"/>
        </w:rPr>
        <w:t>possuem nível superior.</w:t>
      </w:r>
    </w:p>
    <w:p w:rsidR="00170992" w:rsidRPr="0096792B" w:rsidRDefault="00170992" w:rsidP="0096792B">
      <w:pPr>
        <w:widowControl w:val="0"/>
        <w:spacing w:after="240" w:line="480" w:lineRule="auto"/>
        <w:ind w:firstLine="708"/>
        <w:rPr>
          <w:rFonts w:ascii="Times New Roman" w:hAnsi="Times New Roman" w:cs="Times New Roman"/>
          <w:sz w:val="24"/>
          <w:szCs w:val="24"/>
          <w:shd w:val="clear" w:color="auto" w:fill="FFFFFF"/>
        </w:rPr>
      </w:pPr>
      <w:r w:rsidRPr="0096792B">
        <w:rPr>
          <w:rFonts w:ascii="Times New Roman" w:hAnsi="Times New Roman" w:cs="Times New Roman"/>
          <w:sz w:val="24"/>
          <w:szCs w:val="24"/>
          <w:shd w:val="clear" w:color="auto" w:fill="FFFFFF"/>
        </w:rPr>
        <w:t>Outro fator importante se refere aos diferentes vínculos estabelecidos entre profissionais de TI e as empresas, os quais constroem suas carreiras por caminhos distintos do emprego formal, atuando</w:t>
      </w:r>
      <w:r w:rsidR="00F744C9" w:rsidRPr="0096792B">
        <w:rPr>
          <w:rFonts w:ascii="Times New Roman" w:hAnsi="Times New Roman" w:cs="Times New Roman"/>
          <w:sz w:val="24"/>
          <w:szCs w:val="24"/>
          <w:shd w:val="clear" w:color="auto" w:fill="FFFFFF"/>
        </w:rPr>
        <w:t xml:space="preserve"> como</w:t>
      </w:r>
      <w:r w:rsidRPr="0096792B">
        <w:rPr>
          <w:rFonts w:ascii="Times New Roman" w:hAnsi="Times New Roman" w:cs="Times New Roman"/>
          <w:sz w:val="24"/>
          <w:szCs w:val="24"/>
          <w:shd w:val="clear" w:color="auto" w:fill="FFFFFF"/>
        </w:rPr>
        <w:t xml:space="preserve"> autônomos, </w:t>
      </w:r>
      <w:r w:rsidRPr="0096792B">
        <w:rPr>
          <w:rFonts w:ascii="Times New Roman" w:hAnsi="Times New Roman" w:cs="Times New Roman"/>
          <w:i/>
          <w:sz w:val="24"/>
          <w:szCs w:val="24"/>
          <w:shd w:val="clear" w:color="auto" w:fill="FFFFFF"/>
        </w:rPr>
        <w:t>freelancers</w:t>
      </w:r>
      <w:r w:rsidRPr="0096792B">
        <w:rPr>
          <w:rFonts w:ascii="Times New Roman" w:hAnsi="Times New Roman" w:cs="Times New Roman"/>
          <w:sz w:val="24"/>
          <w:szCs w:val="24"/>
          <w:shd w:val="clear" w:color="auto" w:fill="FFFFFF"/>
        </w:rPr>
        <w:t xml:space="preserve">, cooperados, pessoas jurídicas ou ainda pelo chamado CLT </w:t>
      </w:r>
      <w:r w:rsidRPr="0096792B">
        <w:rPr>
          <w:rFonts w:ascii="Times New Roman" w:hAnsi="Times New Roman" w:cs="Times New Roman"/>
          <w:i/>
          <w:sz w:val="24"/>
          <w:szCs w:val="24"/>
          <w:shd w:val="clear" w:color="auto" w:fill="FFFFFF"/>
        </w:rPr>
        <w:t>flex</w:t>
      </w:r>
      <w:r w:rsidR="00404ED7">
        <w:rPr>
          <w:rStyle w:val="Refdenotadefim"/>
          <w:rFonts w:ascii="Times New Roman" w:hAnsi="Times New Roman" w:cs="Times New Roman"/>
          <w:i/>
          <w:sz w:val="24"/>
          <w:szCs w:val="24"/>
          <w:shd w:val="clear" w:color="auto" w:fill="FFFFFF"/>
        </w:rPr>
        <w:endnoteReference w:id="2"/>
      </w:r>
      <w:r w:rsidRPr="0096792B">
        <w:rPr>
          <w:rFonts w:ascii="Times New Roman" w:hAnsi="Times New Roman" w:cs="Times New Roman"/>
          <w:sz w:val="24"/>
          <w:szCs w:val="24"/>
          <w:shd w:val="clear" w:color="auto" w:fill="FFFFFF"/>
        </w:rPr>
        <w:t>, além da grande mobilidade física e psicológica que esses profissionais têm, desenvolvendo trabalhos muitas vezes sob a forma de projetos, os quais exigem grande dedicação de tempo e investimento, junto aos clientes (</w:t>
      </w:r>
      <w:r w:rsidR="0025013D" w:rsidRPr="0096792B">
        <w:rPr>
          <w:rFonts w:ascii="Times New Roman" w:hAnsi="Times New Roman" w:cs="Times New Roman"/>
          <w:sz w:val="24"/>
          <w:szCs w:val="24"/>
          <w:shd w:val="clear" w:color="auto" w:fill="FFFFFF"/>
        </w:rPr>
        <w:t xml:space="preserve">CASTRO, 2013; </w:t>
      </w:r>
      <w:r w:rsidR="0025013D" w:rsidRPr="0096792B">
        <w:rPr>
          <w:rFonts w:ascii="Times New Roman" w:hAnsi="Times New Roman" w:cs="Times New Roman"/>
          <w:sz w:val="24"/>
          <w:szCs w:val="24"/>
          <w:shd w:val="clear" w:color="auto" w:fill="FFFFFF"/>
        </w:rPr>
        <w:lastRenderedPageBreak/>
        <w:t>SOUZA</w:t>
      </w:r>
      <w:r w:rsidRPr="0096792B">
        <w:rPr>
          <w:rFonts w:ascii="Times New Roman" w:hAnsi="Times New Roman" w:cs="Times New Roman"/>
          <w:sz w:val="24"/>
          <w:szCs w:val="24"/>
          <w:shd w:val="clear" w:color="auto" w:fill="FFFFFF"/>
        </w:rPr>
        <w:t>, 2016).</w:t>
      </w:r>
    </w:p>
    <w:p w:rsidR="001E2FCD" w:rsidRPr="0096792B" w:rsidRDefault="002546DE" w:rsidP="0096792B">
      <w:pPr>
        <w:widowControl w:val="0"/>
        <w:spacing w:after="240" w:line="480" w:lineRule="auto"/>
        <w:ind w:firstLine="708"/>
        <w:rPr>
          <w:rFonts w:ascii="Times New Roman" w:hAnsi="Times New Roman" w:cs="Times New Roman"/>
          <w:sz w:val="24"/>
          <w:szCs w:val="24"/>
          <w:shd w:val="clear" w:color="auto" w:fill="FFFFFF"/>
        </w:rPr>
      </w:pPr>
      <w:r w:rsidRPr="0096792B">
        <w:rPr>
          <w:rFonts w:ascii="Times New Roman" w:hAnsi="Times New Roman" w:cs="Times New Roman"/>
          <w:sz w:val="24"/>
          <w:szCs w:val="24"/>
          <w:shd w:val="clear" w:color="auto" w:fill="FFFFFF"/>
        </w:rPr>
        <w:t>Por suas características específicas, os recursos humanos que atuam n</w:t>
      </w:r>
      <w:r w:rsidR="00170992" w:rsidRPr="0096792B">
        <w:rPr>
          <w:rFonts w:ascii="Times New Roman" w:hAnsi="Times New Roman" w:cs="Times New Roman"/>
          <w:sz w:val="24"/>
          <w:szCs w:val="24"/>
          <w:shd w:val="clear" w:color="auto" w:fill="FFFFFF"/>
        </w:rPr>
        <w:t xml:space="preserve">o setor de TI </w:t>
      </w:r>
      <w:r w:rsidRPr="0096792B">
        <w:rPr>
          <w:rFonts w:ascii="Times New Roman" w:hAnsi="Times New Roman" w:cs="Times New Roman"/>
          <w:sz w:val="24"/>
          <w:szCs w:val="24"/>
          <w:shd w:val="clear" w:color="auto" w:fill="FFFFFF"/>
        </w:rPr>
        <w:t xml:space="preserve">requerem a </w:t>
      </w:r>
      <w:r w:rsidR="00170992" w:rsidRPr="0096792B">
        <w:rPr>
          <w:rFonts w:ascii="Times New Roman" w:hAnsi="Times New Roman" w:cs="Times New Roman"/>
          <w:sz w:val="24"/>
          <w:szCs w:val="24"/>
          <w:shd w:val="clear" w:color="auto" w:fill="FFFFFF"/>
        </w:rPr>
        <w:t xml:space="preserve">geração de diferentes políticas e práticas de gestão de pessoas, amparadas na recompensa e aumentos salariais, estimulando a competição e a colaboração, a diminuição e descentralização das hierarquias, adesão à cultura organizacional, dentre outros fatores. </w:t>
      </w:r>
      <w:r w:rsidRPr="0096792B">
        <w:rPr>
          <w:rFonts w:ascii="Times New Roman" w:hAnsi="Times New Roman" w:cs="Times New Roman"/>
          <w:sz w:val="24"/>
          <w:szCs w:val="24"/>
          <w:shd w:val="clear" w:color="auto" w:fill="FFFFFF"/>
        </w:rPr>
        <w:t xml:space="preserve">As empresas devem estar </w:t>
      </w:r>
      <w:r w:rsidR="00170992" w:rsidRPr="0096792B">
        <w:rPr>
          <w:rFonts w:ascii="Times New Roman" w:hAnsi="Times New Roman" w:cs="Times New Roman"/>
          <w:sz w:val="24"/>
          <w:szCs w:val="24"/>
          <w:shd w:val="clear" w:color="auto" w:fill="FFFFFF"/>
        </w:rPr>
        <w:t xml:space="preserve">mais dispostas a realizar atividades de treinamento e mudanças organizacionais, </w:t>
      </w:r>
      <w:r w:rsidRPr="0096792B">
        <w:rPr>
          <w:rFonts w:ascii="Times New Roman" w:hAnsi="Times New Roman" w:cs="Times New Roman"/>
          <w:sz w:val="24"/>
          <w:szCs w:val="24"/>
          <w:shd w:val="clear" w:color="auto" w:fill="FFFFFF"/>
        </w:rPr>
        <w:t xml:space="preserve">o que exige </w:t>
      </w:r>
      <w:r w:rsidR="00170992" w:rsidRPr="0096792B">
        <w:rPr>
          <w:rFonts w:ascii="Times New Roman" w:hAnsi="Times New Roman" w:cs="Times New Roman"/>
          <w:sz w:val="24"/>
          <w:szCs w:val="24"/>
          <w:shd w:val="clear" w:color="auto" w:fill="FFFFFF"/>
        </w:rPr>
        <w:t>integração entre gestão da inovação e políticas de fomento do capital humano e da acumulação de competências e habilidades específicas (E</w:t>
      </w:r>
      <w:r w:rsidR="00F744C9" w:rsidRPr="0096792B">
        <w:rPr>
          <w:rFonts w:ascii="Times New Roman" w:hAnsi="Times New Roman" w:cs="Times New Roman"/>
          <w:sz w:val="24"/>
          <w:szCs w:val="24"/>
          <w:shd w:val="clear" w:color="auto" w:fill="FFFFFF"/>
        </w:rPr>
        <w:t>VANGELISTA</w:t>
      </w:r>
      <w:r w:rsidR="00170992" w:rsidRPr="0096792B">
        <w:rPr>
          <w:rFonts w:ascii="Times New Roman" w:hAnsi="Times New Roman" w:cs="Times New Roman"/>
          <w:sz w:val="24"/>
          <w:szCs w:val="24"/>
          <w:shd w:val="clear" w:color="auto" w:fill="FFFFFF"/>
        </w:rPr>
        <w:t xml:space="preserve">, 2006). </w:t>
      </w:r>
    </w:p>
    <w:p w:rsidR="00170992" w:rsidRPr="0096792B" w:rsidRDefault="002546DE"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shd w:val="clear" w:color="auto" w:fill="FFFFFF"/>
        </w:rPr>
        <w:t>E</w:t>
      </w:r>
      <w:r w:rsidR="00170992" w:rsidRPr="0096792B">
        <w:rPr>
          <w:rFonts w:ascii="Times New Roman" w:hAnsi="Times New Roman" w:cs="Times New Roman"/>
          <w:sz w:val="24"/>
          <w:szCs w:val="24"/>
          <w:shd w:val="clear" w:color="auto" w:fill="FFFFFF"/>
        </w:rPr>
        <w:t>studos na área de gestão de recursos humanos mostram a importância de determinadas práticas para a existência de pessoas preparadas e motivadas para inovar em produtos, processos e serviços (</w:t>
      </w:r>
      <w:r w:rsidR="0025013D" w:rsidRPr="0096792B">
        <w:rPr>
          <w:rFonts w:ascii="Times New Roman" w:hAnsi="Times New Roman" w:cs="Times New Roman"/>
          <w:sz w:val="24"/>
          <w:szCs w:val="24"/>
          <w:shd w:val="clear" w:color="auto" w:fill="FFFFFF"/>
        </w:rPr>
        <w:t>LAURSEN; FOSS</w:t>
      </w:r>
      <w:r w:rsidR="00170992" w:rsidRPr="0096792B">
        <w:rPr>
          <w:rFonts w:ascii="Times New Roman" w:hAnsi="Times New Roman" w:cs="Times New Roman"/>
          <w:sz w:val="24"/>
          <w:szCs w:val="24"/>
          <w:shd w:val="clear" w:color="auto" w:fill="FFFFFF"/>
        </w:rPr>
        <w:t xml:space="preserve">, 2014). </w:t>
      </w:r>
      <w:r w:rsidR="00A96D06" w:rsidRPr="0096792B">
        <w:rPr>
          <w:rFonts w:ascii="Times New Roman" w:hAnsi="Times New Roman" w:cs="Times New Roman"/>
          <w:sz w:val="24"/>
          <w:szCs w:val="24"/>
          <w:shd w:val="clear" w:color="auto" w:fill="FFFFFF"/>
        </w:rPr>
        <w:t xml:space="preserve">A </w:t>
      </w:r>
      <w:r w:rsidR="00170992" w:rsidRPr="0096792B">
        <w:rPr>
          <w:rFonts w:ascii="Times New Roman" w:hAnsi="Times New Roman" w:cs="Times New Roman"/>
          <w:sz w:val="24"/>
          <w:szCs w:val="24"/>
          <w:shd w:val="clear" w:color="auto" w:fill="FFFFFF"/>
        </w:rPr>
        <w:t xml:space="preserve">implementação de inovações depende de uma combinação de práticas como treinamento e desenvolvimento, avaliação de desempenho, promoção por mérito, programas de reconhecimento e remuneração, planos de carreira não tradicionais, dentre outros aspectos, de modo a incentivar a criatividade, a autonomia, a flexibilidade e o autodesenvolvimento. </w:t>
      </w:r>
    </w:p>
    <w:p w:rsidR="00170992" w:rsidRPr="0096792B" w:rsidRDefault="00170992" w:rsidP="0096792B">
      <w:pPr>
        <w:spacing w:after="240" w:line="480" w:lineRule="auto"/>
        <w:rPr>
          <w:rFonts w:ascii="Times New Roman" w:hAnsi="Times New Roman" w:cs="Times New Roman"/>
          <w:i/>
          <w:sz w:val="24"/>
          <w:szCs w:val="24"/>
        </w:rPr>
      </w:pPr>
      <w:r w:rsidRPr="0096792B">
        <w:rPr>
          <w:rFonts w:ascii="Times New Roman" w:hAnsi="Times New Roman" w:cs="Times New Roman"/>
          <w:i/>
          <w:sz w:val="24"/>
          <w:szCs w:val="24"/>
        </w:rPr>
        <w:t xml:space="preserve">2.4. Modelo conceitual para analisar a inovação nos SICs de </w:t>
      </w:r>
      <w:r w:rsidR="001C0EBB">
        <w:rPr>
          <w:rFonts w:ascii="Times New Roman" w:hAnsi="Times New Roman" w:cs="Times New Roman"/>
          <w:i/>
          <w:sz w:val="24"/>
          <w:szCs w:val="24"/>
        </w:rPr>
        <w:t>TI</w:t>
      </w:r>
    </w:p>
    <w:p w:rsidR="00D4740A" w:rsidRDefault="00170992" w:rsidP="0096792B">
      <w:pPr>
        <w:widowControl w:val="0"/>
        <w:spacing w:after="240" w:line="480" w:lineRule="auto"/>
        <w:ind w:firstLine="708"/>
        <w:rPr>
          <w:rFonts w:ascii="Times New Roman" w:hAnsi="Times New Roman" w:cs="Times New Roman"/>
          <w:sz w:val="24"/>
          <w:szCs w:val="24"/>
          <w:shd w:val="clear" w:color="auto" w:fill="FFFFFF"/>
        </w:rPr>
      </w:pPr>
      <w:r w:rsidRPr="0096792B">
        <w:rPr>
          <w:rFonts w:ascii="Times New Roman" w:hAnsi="Times New Roman" w:cs="Times New Roman"/>
          <w:sz w:val="24"/>
          <w:szCs w:val="24"/>
          <w:shd w:val="clear" w:color="auto" w:fill="FFFFFF"/>
        </w:rPr>
        <w:t xml:space="preserve">Essas considerações teóricas permitem a proposição </w:t>
      </w:r>
      <w:r w:rsidR="00F744C9" w:rsidRPr="0096792B">
        <w:rPr>
          <w:rFonts w:ascii="Times New Roman" w:hAnsi="Times New Roman" w:cs="Times New Roman"/>
          <w:sz w:val="24"/>
          <w:szCs w:val="24"/>
          <w:shd w:val="clear" w:color="auto" w:fill="FFFFFF"/>
        </w:rPr>
        <w:t>de um modelo conceitual</w:t>
      </w:r>
      <w:r w:rsidRPr="0096792B">
        <w:rPr>
          <w:rFonts w:ascii="Times New Roman" w:hAnsi="Times New Roman" w:cs="Times New Roman"/>
          <w:sz w:val="24"/>
          <w:szCs w:val="24"/>
          <w:shd w:val="clear" w:color="auto" w:fill="FFFFFF"/>
        </w:rPr>
        <w:t xml:space="preserve"> simples para a análise da inovação </w:t>
      </w:r>
      <w:r w:rsidR="007C4F23" w:rsidRPr="0096792B">
        <w:rPr>
          <w:rFonts w:ascii="Times New Roman" w:hAnsi="Times New Roman" w:cs="Times New Roman"/>
          <w:sz w:val="24"/>
          <w:szCs w:val="24"/>
          <w:shd w:val="clear" w:color="auto" w:fill="FFFFFF"/>
        </w:rPr>
        <w:t xml:space="preserve">nos SICs </w:t>
      </w:r>
      <w:r w:rsidR="001E2FCD" w:rsidRPr="0096792B">
        <w:rPr>
          <w:rFonts w:ascii="Times New Roman" w:hAnsi="Times New Roman" w:cs="Times New Roman"/>
          <w:sz w:val="24"/>
          <w:szCs w:val="24"/>
          <w:shd w:val="clear" w:color="auto" w:fill="FFFFFF"/>
        </w:rPr>
        <w:t>de TI</w:t>
      </w:r>
      <w:r w:rsidRPr="0096792B">
        <w:rPr>
          <w:rFonts w:ascii="Times New Roman" w:hAnsi="Times New Roman" w:cs="Times New Roman"/>
          <w:sz w:val="24"/>
          <w:szCs w:val="24"/>
          <w:shd w:val="clear" w:color="auto" w:fill="FFFFFF"/>
        </w:rPr>
        <w:t>, envolvendo estrutura, processos, gestão e recursos humanos. Esse modelo, sintetizado na Figura 1, é inspirado no trabalho de Sundbo e Gallouj (1998), que identificam três forças internas para a análise da inovação: gestão e estratégia, incluindo ideias sobre as atividades de inovação e o papel do dirigente; departamento de P&amp;D ou outro tipo de departamento formalizado para assegurar a realização da inovação; e pessoas, considerando o envolvimento dos empregados ou mesmo dos empreendedores na inovação.</w:t>
      </w:r>
    </w:p>
    <w:p w:rsidR="00FD649F" w:rsidRPr="0096792B" w:rsidRDefault="00FD649F" w:rsidP="0096792B">
      <w:pPr>
        <w:widowControl w:val="0"/>
        <w:spacing w:after="240" w:line="480" w:lineRule="auto"/>
        <w:ind w:firstLine="708"/>
        <w:rPr>
          <w:rFonts w:ascii="Times New Roman" w:hAnsi="Times New Roman" w:cs="Times New Roman"/>
          <w:sz w:val="24"/>
          <w:szCs w:val="24"/>
          <w:shd w:val="clear" w:color="auto" w:fill="FFFFFF"/>
        </w:rPr>
      </w:pPr>
    </w:p>
    <w:p w:rsidR="00C246A9" w:rsidRPr="0096792B" w:rsidRDefault="00C246A9" w:rsidP="0056385B">
      <w:pPr>
        <w:spacing w:after="240" w:line="480" w:lineRule="auto"/>
        <w:ind w:right="-2"/>
        <w:jc w:val="center"/>
        <w:rPr>
          <w:rFonts w:ascii="Times New Roman" w:hAnsi="Times New Roman" w:cs="Times New Roman"/>
          <w:sz w:val="24"/>
          <w:szCs w:val="24"/>
        </w:rPr>
      </w:pPr>
      <w:r w:rsidRPr="0096792B">
        <w:rPr>
          <w:rFonts w:ascii="Times New Roman" w:hAnsi="Times New Roman" w:cs="Times New Roman"/>
          <w:b/>
          <w:sz w:val="24"/>
          <w:szCs w:val="24"/>
        </w:rPr>
        <w:t xml:space="preserve">Figura 1 </w:t>
      </w:r>
      <w:r w:rsidRPr="0096792B">
        <w:rPr>
          <w:rFonts w:ascii="Times New Roman" w:hAnsi="Times New Roman" w:cs="Times New Roman"/>
          <w:sz w:val="24"/>
          <w:szCs w:val="24"/>
        </w:rPr>
        <w:t>- Síntese do modelo conceitual</w:t>
      </w:r>
    </w:p>
    <w:p w:rsidR="00C246A9" w:rsidRPr="0096792B" w:rsidRDefault="00C246A9" w:rsidP="0056385B">
      <w:pPr>
        <w:spacing w:after="240" w:line="480" w:lineRule="auto"/>
        <w:jc w:val="center"/>
        <w:rPr>
          <w:rFonts w:ascii="Times New Roman" w:hAnsi="Times New Roman" w:cs="Times New Roman"/>
          <w:sz w:val="24"/>
          <w:szCs w:val="24"/>
        </w:rPr>
      </w:pPr>
      <w:r>
        <w:rPr>
          <w:rFonts w:ascii="Times New Roman" w:hAnsi="Times New Roman" w:cs="Times New Roman"/>
          <w:noProof/>
          <w:sz w:val="24"/>
          <w:szCs w:val="24"/>
          <w:lang w:eastAsia="pt-BR"/>
        </w:rPr>
        <mc:AlternateContent>
          <mc:Choice Requires="wpg">
            <w:drawing>
              <wp:inline distT="0" distB="0" distL="0" distR="0" wp14:anchorId="40F2F0D4" wp14:editId="430DD9B8">
                <wp:extent cx="3383280" cy="1428750"/>
                <wp:effectExtent l="9525" t="9525" r="7620" b="9525"/>
                <wp:docPr id="1"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83280" cy="1428750"/>
                          <a:chOff x="0" y="0"/>
                          <a:chExt cx="56086" cy="41464"/>
                        </a:xfrm>
                      </wpg:grpSpPr>
                      <wps:wsp>
                        <wps:cNvPr id="3" name="Retângulo de cantos arredondados 22"/>
                        <wps:cNvSpPr>
                          <a:spLocks noChangeArrowheads="1"/>
                        </wps:cNvSpPr>
                        <wps:spPr bwMode="auto">
                          <a:xfrm>
                            <a:off x="19716" y="16383"/>
                            <a:ext cx="16780" cy="10160"/>
                          </a:xfrm>
                          <a:prstGeom prst="roundRect">
                            <a:avLst>
                              <a:gd name="adj" fmla="val 16667"/>
                            </a:avLst>
                          </a:prstGeom>
                          <a:solidFill>
                            <a:schemeClr val="tx1">
                              <a:lumMod val="100000"/>
                              <a:lumOff val="0"/>
                            </a:schemeClr>
                          </a:solidFill>
                          <a:ln w="9525">
                            <a:solidFill>
                              <a:schemeClr val="tx1">
                                <a:lumMod val="100000"/>
                                <a:lumOff val="0"/>
                              </a:schemeClr>
                            </a:solidFill>
                            <a:round/>
                            <a:headEnd/>
                            <a:tailEnd/>
                          </a:ln>
                        </wps:spPr>
                        <wps:txbx>
                          <w:txbxContent>
                            <w:p w:rsidR="00096FC7" w:rsidRPr="00DC2F50" w:rsidRDefault="00096FC7" w:rsidP="00C246A9">
                              <w:pPr>
                                <w:pStyle w:val="NormalWeb"/>
                                <w:kinsoku w:val="0"/>
                                <w:overflowPunct w:val="0"/>
                                <w:spacing w:before="0" w:beforeAutospacing="0" w:after="0" w:afterAutospacing="0" w:line="276" w:lineRule="auto"/>
                                <w:jc w:val="center"/>
                                <w:textAlignment w:val="baseline"/>
                                <w:rPr>
                                  <w:color w:val="FFFFFF" w:themeColor="background1"/>
                                  <w:sz w:val="20"/>
                                  <w:szCs w:val="20"/>
                                </w:rPr>
                              </w:pPr>
                              <w:r w:rsidRPr="00DC2F50">
                                <w:rPr>
                                  <w:rFonts w:eastAsia="Calibri"/>
                                  <w:color w:val="FFFFFF" w:themeColor="background1"/>
                                  <w:kern w:val="24"/>
                                  <w:sz w:val="20"/>
                                  <w:szCs w:val="20"/>
                                </w:rPr>
                                <w:t>INOVAÇÃO</w:t>
                              </w:r>
                            </w:p>
                          </w:txbxContent>
                        </wps:txbx>
                        <wps:bodyPr rot="0" vert="horz" wrap="square" lIns="0" tIns="0" rIns="0" bIns="0" anchor="ctr" anchorCtr="0" upright="1">
                          <a:noAutofit/>
                        </wps:bodyPr>
                      </wps:wsp>
                      <wps:wsp>
                        <wps:cNvPr id="7" name="Retângulo de cantos arredondados 23"/>
                        <wps:cNvSpPr>
                          <a:spLocks noChangeArrowheads="1"/>
                        </wps:cNvSpPr>
                        <wps:spPr bwMode="auto">
                          <a:xfrm>
                            <a:off x="0" y="0"/>
                            <a:ext cx="16748" cy="101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96FC7" w:rsidRPr="00DC2F50" w:rsidRDefault="00096FC7" w:rsidP="00C246A9">
                              <w:pPr>
                                <w:pStyle w:val="NormalWeb"/>
                                <w:tabs>
                                  <w:tab w:val="left" w:pos="1440"/>
                                </w:tabs>
                                <w:kinsoku w:val="0"/>
                                <w:overflowPunct w:val="0"/>
                                <w:spacing w:before="0" w:beforeAutospacing="0" w:after="0" w:afterAutospacing="0"/>
                                <w:jc w:val="center"/>
                                <w:textAlignment w:val="baseline"/>
                                <w:rPr>
                                  <w:sz w:val="20"/>
                                  <w:szCs w:val="20"/>
                                </w:rPr>
                              </w:pPr>
                              <w:r w:rsidRPr="00DC2F50">
                                <w:rPr>
                                  <w:rFonts w:eastAsia="Calibri"/>
                                  <w:color w:val="000000"/>
                                  <w:kern w:val="24"/>
                                  <w:sz w:val="20"/>
                                  <w:szCs w:val="20"/>
                                </w:rPr>
                                <w:t>Estrutura e gestão</w:t>
                              </w:r>
                            </w:p>
                          </w:txbxContent>
                        </wps:txbx>
                        <wps:bodyPr rot="0" vert="horz" wrap="square" lIns="0" tIns="0" rIns="0" bIns="0" anchor="ctr" anchorCtr="0" upright="1">
                          <a:noAutofit/>
                        </wps:bodyPr>
                      </wps:wsp>
                      <wps:wsp>
                        <wps:cNvPr id="8" name="Retângulo de cantos arredondados 24"/>
                        <wps:cNvSpPr>
                          <a:spLocks noChangeArrowheads="1"/>
                        </wps:cNvSpPr>
                        <wps:spPr bwMode="auto">
                          <a:xfrm>
                            <a:off x="7239" y="33242"/>
                            <a:ext cx="42417" cy="822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96FC7" w:rsidRPr="00DC2F50" w:rsidRDefault="00096FC7" w:rsidP="00C246A9">
                              <w:pPr>
                                <w:pStyle w:val="NormalWeb"/>
                                <w:tabs>
                                  <w:tab w:val="left" w:pos="1440"/>
                                </w:tabs>
                                <w:kinsoku w:val="0"/>
                                <w:overflowPunct w:val="0"/>
                                <w:spacing w:before="0" w:beforeAutospacing="0" w:after="0" w:afterAutospacing="0"/>
                                <w:jc w:val="center"/>
                                <w:textAlignment w:val="baseline"/>
                                <w:rPr>
                                  <w:sz w:val="20"/>
                                  <w:szCs w:val="20"/>
                                </w:rPr>
                              </w:pPr>
                              <w:r w:rsidRPr="00DC2F50">
                                <w:rPr>
                                  <w:rFonts w:eastAsia="Calibri"/>
                                  <w:color w:val="000000"/>
                                  <w:kern w:val="24"/>
                                  <w:sz w:val="20"/>
                                  <w:szCs w:val="20"/>
                                </w:rPr>
                                <w:t>Recursos Humanos</w:t>
                              </w:r>
                            </w:p>
                          </w:txbxContent>
                        </wps:txbx>
                        <wps:bodyPr rot="0" vert="horz" wrap="square" lIns="0" tIns="0" rIns="0" bIns="0" anchor="ctr" anchorCtr="0" upright="1">
                          <a:noAutofit/>
                        </wps:bodyPr>
                      </wps:wsp>
                      <wps:wsp>
                        <wps:cNvPr id="9" name="Retângulo de cantos arredondados 25"/>
                        <wps:cNvSpPr>
                          <a:spLocks noChangeArrowheads="1"/>
                        </wps:cNvSpPr>
                        <wps:spPr bwMode="auto">
                          <a:xfrm>
                            <a:off x="39338" y="0"/>
                            <a:ext cx="16748" cy="101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096FC7" w:rsidRPr="00DC2F50" w:rsidRDefault="00096FC7" w:rsidP="00C246A9">
                              <w:pPr>
                                <w:pStyle w:val="NormalWeb"/>
                                <w:tabs>
                                  <w:tab w:val="left" w:pos="1440"/>
                                </w:tabs>
                                <w:kinsoku w:val="0"/>
                                <w:overflowPunct w:val="0"/>
                                <w:spacing w:before="0" w:beforeAutospacing="0" w:after="0" w:afterAutospacing="0"/>
                                <w:jc w:val="center"/>
                                <w:textAlignment w:val="baseline"/>
                                <w:rPr>
                                  <w:sz w:val="20"/>
                                  <w:szCs w:val="20"/>
                                </w:rPr>
                              </w:pPr>
                              <w:r w:rsidRPr="00DC2F50">
                                <w:rPr>
                                  <w:rFonts w:eastAsia="Calibri"/>
                                  <w:color w:val="000000"/>
                                  <w:kern w:val="24"/>
                                  <w:sz w:val="20"/>
                                  <w:szCs w:val="20"/>
                                </w:rPr>
                                <w:t>Processos</w:t>
                              </w:r>
                            </w:p>
                          </w:txbxContent>
                        </wps:txbx>
                        <wps:bodyPr rot="0" vert="horz" wrap="square" lIns="0" tIns="0" rIns="0" bIns="0" anchor="ctr" anchorCtr="0" upright="1">
                          <a:noAutofit/>
                        </wps:bodyPr>
                      </wps:wsp>
                      <wps:wsp>
                        <wps:cNvPr id="13" name="Seta para a direita 26"/>
                        <wps:cNvSpPr>
                          <a:spLocks noChangeArrowheads="1"/>
                        </wps:cNvSpPr>
                        <wps:spPr bwMode="auto">
                          <a:xfrm rot="7980000">
                            <a:off x="33337" y="10477"/>
                            <a:ext cx="7064" cy="6144"/>
                          </a:xfrm>
                          <a:prstGeom prst="rightArrow">
                            <a:avLst>
                              <a:gd name="adj1" fmla="val 50000"/>
                              <a:gd name="adj2" fmla="val 50801"/>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4" name="Seta para a esquerda e para a direita 27"/>
                        <wps:cNvSpPr>
                          <a:spLocks noChangeArrowheads="1"/>
                        </wps:cNvSpPr>
                        <wps:spPr bwMode="auto">
                          <a:xfrm>
                            <a:off x="18669" y="2286"/>
                            <a:ext cx="18732" cy="5508"/>
                          </a:xfrm>
                          <a:prstGeom prst="leftRightArrow">
                            <a:avLst>
                              <a:gd name="adj1" fmla="val 50000"/>
                              <a:gd name="adj2" fmla="val 50005"/>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5" name="Seta para a direita 28"/>
                        <wps:cNvSpPr>
                          <a:spLocks noChangeArrowheads="1"/>
                        </wps:cNvSpPr>
                        <wps:spPr bwMode="auto">
                          <a:xfrm rot="-5400000">
                            <a:off x="25717" y="26955"/>
                            <a:ext cx="5556" cy="6160"/>
                          </a:xfrm>
                          <a:prstGeom prst="rightArrow">
                            <a:avLst>
                              <a:gd name="adj1" fmla="val 50000"/>
                              <a:gd name="adj2" fmla="val 50806"/>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6" name="Seta para a direita 29"/>
                        <wps:cNvSpPr>
                          <a:spLocks noChangeArrowheads="1"/>
                        </wps:cNvSpPr>
                        <wps:spPr bwMode="auto">
                          <a:xfrm rot="2825837">
                            <a:off x="15716" y="10477"/>
                            <a:ext cx="7064" cy="6176"/>
                          </a:xfrm>
                          <a:prstGeom prst="rightArrow">
                            <a:avLst>
                              <a:gd name="adj1" fmla="val 50000"/>
                              <a:gd name="adj2" fmla="val 50798"/>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7" name="Seta para a esquerda e para a direita 32"/>
                        <wps:cNvSpPr>
                          <a:spLocks noChangeArrowheads="1"/>
                        </wps:cNvSpPr>
                        <wps:spPr bwMode="auto">
                          <a:xfrm rot="5400000">
                            <a:off x="428" y="19002"/>
                            <a:ext cx="18161" cy="5381"/>
                          </a:xfrm>
                          <a:prstGeom prst="leftRightArrow">
                            <a:avLst>
                              <a:gd name="adj1" fmla="val 50000"/>
                              <a:gd name="adj2" fmla="val 50000"/>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8" name="Seta para a esquerda e para a direita 33"/>
                        <wps:cNvSpPr>
                          <a:spLocks noChangeArrowheads="1"/>
                        </wps:cNvSpPr>
                        <wps:spPr bwMode="auto">
                          <a:xfrm rot="5400000">
                            <a:off x="38623" y="19002"/>
                            <a:ext cx="18161" cy="5382"/>
                          </a:xfrm>
                          <a:prstGeom prst="leftRightArrow">
                            <a:avLst>
                              <a:gd name="adj1" fmla="val 50000"/>
                              <a:gd name="adj2" fmla="val 49991"/>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0F2F0D4" id="Agrupar 2" o:spid="_x0000_s1026" style="width:266.4pt;height:112.5pt;mso-position-horizontal-relative:char;mso-position-vertical-relative:line" coordsize="56086,41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">
                <v:roundrect id="Retângulo de cantos arredondados 22" o:spid="_x0000_s1027" style="position:absolute;left:19716;top:16383;width:16780;height:1016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" fillcolor="black [3213]" strokecolor="black [3213]">
                  <v:textbox inset="0,0,0,0">
                    <w:txbxContent>
                      <w:p w:rsidR="00096FC7" w:rsidRPr="00DC2F50" w:rsidRDefault="00096FC7" w:rsidP="00C246A9">
                        <w:pPr>
                          <w:pStyle w:val="NormalWeb"/>
                          <w:kinsoku w:val="0"/>
                          <w:overflowPunct w:val="0"/>
                          <w:spacing w:before="0" w:beforeAutospacing="0" w:after="0" w:afterAutospacing="0" w:line="276" w:lineRule="auto"/>
                          <w:jc w:val="center"/>
                          <w:textAlignment w:val="baseline"/>
                          <w:rPr>
                            <w:color w:val="FFFFFF" w:themeColor="background1"/>
                            <w:sz w:val="20"/>
                            <w:szCs w:val="20"/>
                          </w:rPr>
                        </w:pPr>
                        <w:r w:rsidRPr="00DC2F50">
                          <w:rPr>
                            <w:rFonts w:eastAsia="Calibri"/>
                            <w:color w:val="FFFFFF" w:themeColor="background1"/>
                            <w:kern w:val="24"/>
                            <w:sz w:val="20"/>
                            <w:szCs w:val="20"/>
                          </w:rPr>
                          <w:t>INOVAÇÃO</w:t>
                        </w:r>
                      </w:p>
                    </w:txbxContent>
                  </v:textbox>
                </v:roundrect>
                <v:roundrect id="Retângulo de cantos arredondados 23" o:spid="_x0000_s1028" style="position:absolute;width:16748;height:101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" filled="f">
                  <v:textbox inset="0,0,0,0">
                    <w:txbxContent>
                      <w:p w:rsidR="00096FC7" w:rsidRPr="00DC2F50" w:rsidRDefault="00096FC7" w:rsidP="00C246A9">
                        <w:pPr>
                          <w:pStyle w:val="NormalWeb"/>
                          <w:tabs>
                            <w:tab w:val="left" w:pos="1440"/>
                          </w:tabs>
                          <w:kinsoku w:val="0"/>
                          <w:overflowPunct w:val="0"/>
                          <w:spacing w:before="0" w:beforeAutospacing="0" w:after="0" w:afterAutospacing="0"/>
                          <w:jc w:val="center"/>
                          <w:textAlignment w:val="baseline"/>
                          <w:rPr>
                            <w:sz w:val="20"/>
                            <w:szCs w:val="20"/>
                          </w:rPr>
                        </w:pPr>
                        <w:r w:rsidRPr="00DC2F50">
                          <w:rPr>
                            <w:rFonts w:eastAsia="Calibri"/>
                            <w:color w:val="000000"/>
                            <w:kern w:val="24"/>
                            <w:sz w:val="20"/>
                            <w:szCs w:val="20"/>
                          </w:rPr>
                          <w:t>Estrutura e gestão</w:t>
                        </w:r>
                      </w:p>
                    </w:txbxContent>
                  </v:textbox>
                </v:roundrect>
                <v:roundrect id="Retângulo de cantos arredondados 24" o:spid="_x0000_s1029" style="position:absolute;left:7239;top:33242;width:42417;height:822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" filled="f">
                  <v:textbox inset="0,0,0,0">
                    <w:txbxContent>
                      <w:p w:rsidR="00096FC7" w:rsidRPr="00DC2F50" w:rsidRDefault="00096FC7" w:rsidP="00C246A9">
                        <w:pPr>
                          <w:pStyle w:val="NormalWeb"/>
                          <w:tabs>
                            <w:tab w:val="left" w:pos="1440"/>
                          </w:tabs>
                          <w:kinsoku w:val="0"/>
                          <w:overflowPunct w:val="0"/>
                          <w:spacing w:before="0" w:beforeAutospacing="0" w:after="0" w:afterAutospacing="0"/>
                          <w:jc w:val="center"/>
                          <w:textAlignment w:val="baseline"/>
                          <w:rPr>
                            <w:sz w:val="20"/>
                            <w:szCs w:val="20"/>
                          </w:rPr>
                        </w:pPr>
                        <w:r w:rsidRPr="00DC2F50">
                          <w:rPr>
                            <w:rFonts w:eastAsia="Calibri"/>
                            <w:color w:val="000000"/>
                            <w:kern w:val="24"/>
                            <w:sz w:val="20"/>
                            <w:szCs w:val="20"/>
                          </w:rPr>
                          <w:t>Recursos Humanos</w:t>
                        </w:r>
                      </w:p>
                    </w:txbxContent>
                  </v:textbox>
                </v:roundrect>
                <v:roundrect id="Retângulo de cantos arredondados 25" o:spid="_x0000_s1030" style="position:absolute;left:39338;width:16748;height:1017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" filled="f">
                  <v:textbox inset="0,0,0,0">
                    <w:txbxContent>
                      <w:p w:rsidR="00096FC7" w:rsidRPr="00DC2F50" w:rsidRDefault="00096FC7" w:rsidP="00C246A9">
                        <w:pPr>
                          <w:pStyle w:val="NormalWeb"/>
                          <w:tabs>
                            <w:tab w:val="left" w:pos="1440"/>
                          </w:tabs>
                          <w:kinsoku w:val="0"/>
                          <w:overflowPunct w:val="0"/>
                          <w:spacing w:before="0" w:beforeAutospacing="0" w:after="0" w:afterAutospacing="0"/>
                          <w:jc w:val="center"/>
                          <w:textAlignment w:val="baseline"/>
                          <w:rPr>
                            <w:sz w:val="20"/>
                            <w:szCs w:val="20"/>
                          </w:rPr>
                        </w:pPr>
                        <w:r w:rsidRPr="00DC2F50">
                          <w:rPr>
                            <w:rFonts w:eastAsia="Calibri"/>
                            <w:color w:val="000000"/>
                            <w:kern w:val="24"/>
                            <w:sz w:val="20"/>
                            <w:szCs w:val="20"/>
                          </w:rPr>
                          <w:t>Processos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eta para a direita 26" o:spid="_x0000_s1031" type="#_x0000_t13" style="position:absolute;left:33337;top:10477;width:7064;height:6144;rotation:1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" adj="12056" filled="f"/>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Seta para a esquerda e para a direita 27" o:spid="_x0000_s1032" type="#_x0000_t69" style="position:absolute;left:18669;top:2286;width:18732;height:55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" adj="3176" filled="f"/>
                <v:shape id="Seta para a direita 28" o:spid="_x0000_s1033" type="#_x0000_t13" style="position:absolute;left:25717;top:26955;width:5556;height:616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" adj="10626" filled="f"/>
                <v:shape id="Seta para a direita 29" o:spid="_x0000_s1034" type="#_x0000_t13" style="position:absolute;left:15716;top:10477;width:7064;height:6176;rotation:3086568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" adj="12007" filled="f"/>
                <v:shape id="Seta para a esquerda e para a direita 32" o:spid="_x0000_s1035" type="#_x0000_t69" style="position:absolute;left:428;top:19002;width:18161;height:5381;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" adj="3200" filled="f"/>
                <v:shape id="Seta para a esquerda e para a direita 33" o:spid="_x0000_s1036" type="#_x0000_t69" style="position:absolute;left:38623;top:19002;width:18161;height:5382;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" adj="3200" filled="f"/>
                <w10:anchorlock/>
              </v:group>
            </w:pict>
          </mc:Fallback>
        </mc:AlternateContent>
      </w:r>
    </w:p>
    <w:p w:rsidR="00C246A9" w:rsidRPr="00C246A9" w:rsidRDefault="00C246A9" w:rsidP="0056385B">
      <w:pPr>
        <w:spacing w:after="240" w:line="480" w:lineRule="auto"/>
        <w:ind w:right="-1"/>
        <w:jc w:val="center"/>
        <w:rPr>
          <w:rFonts w:ascii="Times New Roman" w:hAnsi="Times New Roman" w:cs="Times New Roman"/>
          <w:sz w:val="20"/>
          <w:szCs w:val="24"/>
        </w:rPr>
      </w:pPr>
      <w:r w:rsidRPr="00C246A9">
        <w:rPr>
          <w:rFonts w:ascii="Times New Roman" w:hAnsi="Times New Roman" w:cs="Times New Roman"/>
          <w:sz w:val="20"/>
          <w:szCs w:val="24"/>
        </w:rPr>
        <w:t xml:space="preserve">Fonte: adaptado de </w:t>
      </w:r>
      <w:r w:rsidRPr="00C246A9">
        <w:rPr>
          <w:rFonts w:ascii="Times New Roman" w:hAnsi="Times New Roman" w:cs="Times New Roman"/>
          <w:sz w:val="20"/>
          <w:szCs w:val="24"/>
          <w:shd w:val="clear" w:color="auto" w:fill="FFFFFF"/>
        </w:rPr>
        <w:t>Sundbo e Gallouj (1998).</w:t>
      </w:r>
    </w:p>
    <w:p w:rsidR="004C2C28" w:rsidRPr="0096792B" w:rsidRDefault="004C2C28" w:rsidP="0096792B">
      <w:pPr>
        <w:widowControl w:val="0"/>
        <w:spacing w:after="240" w:line="480" w:lineRule="auto"/>
        <w:ind w:firstLine="708"/>
        <w:rPr>
          <w:rFonts w:ascii="Times New Roman" w:eastAsia="Times New Roman" w:hAnsi="Times New Roman" w:cs="Times New Roman"/>
          <w:b/>
          <w:bCs/>
          <w:sz w:val="24"/>
          <w:szCs w:val="24"/>
        </w:rPr>
      </w:pPr>
      <w:r w:rsidRPr="0096792B">
        <w:rPr>
          <w:rFonts w:ascii="Times New Roman" w:hAnsi="Times New Roman" w:cs="Times New Roman"/>
          <w:sz w:val="24"/>
          <w:szCs w:val="24"/>
          <w:shd w:val="clear" w:color="auto" w:fill="FFFFFF"/>
        </w:rPr>
        <w:t>Importa, portanto, analisar como a inovação está estruturada e é gerenciada, sua sustentação em termos de processos (atividades de inovação), e os recursos humanos que atuam nesses processos.</w:t>
      </w:r>
      <w:r w:rsidR="00F744C9" w:rsidRPr="0096792B">
        <w:rPr>
          <w:rFonts w:ascii="Times New Roman" w:hAnsi="Times New Roman" w:cs="Times New Roman"/>
          <w:sz w:val="24"/>
          <w:szCs w:val="24"/>
          <w:shd w:val="clear" w:color="auto" w:fill="FFFFFF"/>
        </w:rPr>
        <w:t xml:space="preserve"> </w:t>
      </w:r>
      <w:r w:rsidRPr="0096792B">
        <w:rPr>
          <w:rFonts w:ascii="Times New Roman" w:hAnsi="Times New Roman" w:cs="Times New Roman"/>
          <w:sz w:val="24"/>
          <w:szCs w:val="24"/>
          <w:shd w:val="clear" w:color="auto" w:fill="FFFFFF"/>
        </w:rPr>
        <w:t xml:space="preserve">Os três elementos de análise estão inter-relacionados, uma vez que se influenciam mutuamente para dar coerência à forma como as organizações fazem para inovar. Tais elementos – em linha com os aspectos singulares da inovação nos SICs de TI – </w:t>
      </w:r>
      <w:r w:rsidRPr="0096792B">
        <w:rPr>
          <w:rFonts w:ascii="Times New Roman" w:hAnsi="Times New Roman" w:cs="Times New Roman"/>
          <w:sz w:val="24"/>
          <w:szCs w:val="24"/>
        </w:rPr>
        <w:t>serão centrais para as definições metodológicas apresentadas na próxima seção.</w:t>
      </w:r>
    </w:p>
    <w:p w:rsidR="00170992" w:rsidRPr="0096792B" w:rsidRDefault="00170992" w:rsidP="0096792B">
      <w:pPr>
        <w:pStyle w:val="Ttulo1"/>
        <w:keepNext w:val="0"/>
        <w:keepLines w:val="0"/>
        <w:widowControl w:val="0"/>
        <w:spacing w:after="240" w:line="480" w:lineRule="auto"/>
        <w:rPr>
          <w:caps w:val="0"/>
          <w:lang w:val="pt-BR"/>
        </w:rPr>
      </w:pPr>
      <w:r w:rsidRPr="0096792B">
        <w:rPr>
          <w:caps w:val="0"/>
          <w:lang w:val="pt-BR"/>
        </w:rPr>
        <w:t>3. Metodologia</w:t>
      </w:r>
    </w:p>
    <w:p w:rsidR="0061049D" w:rsidRDefault="00170992"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 xml:space="preserve">A abordagem quantitativa baseada em </w:t>
      </w:r>
      <w:r w:rsidRPr="0096792B">
        <w:rPr>
          <w:rFonts w:ascii="Times New Roman" w:hAnsi="Times New Roman" w:cs="Times New Roman"/>
          <w:i/>
          <w:sz w:val="24"/>
          <w:szCs w:val="24"/>
        </w:rPr>
        <w:t xml:space="preserve">survey </w:t>
      </w:r>
      <w:r w:rsidRPr="0096792B">
        <w:rPr>
          <w:rFonts w:ascii="Times New Roman" w:hAnsi="Times New Roman" w:cs="Times New Roman"/>
          <w:sz w:val="24"/>
          <w:szCs w:val="24"/>
        </w:rPr>
        <w:t>(</w:t>
      </w:r>
      <w:r w:rsidR="0025013D" w:rsidRPr="0096792B">
        <w:rPr>
          <w:rFonts w:ascii="Times New Roman" w:hAnsi="Times New Roman" w:cs="Times New Roman"/>
          <w:sz w:val="24"/>
          <w:szCs w:val="24"/>
        </w:rPr>
        <w:t>FOWLER JR.</w:t>
      </w:r>
      <w:r w:rsidRPr="0096792B">
        <w:rPr>
          <w:rFonts w:ascii="Times New Roman" w:hAnsi="Times New Roman" w:cs="Times New Roman"/>
          <w:sz w:val="24"/>
          <w:szCs w:val="24"/>
        </w:rPr>
        <w:t xml:space="preserve">, 2009) foi escolhida por possibilitar obter um panorama de como a inovação está estruturada e quem são as pessoas que atuam nessa atividade. </w:t>
      </w:r>
      <w:r w:rsidR="00B73451">
        <w:rPr>
          <w:rFonts w:ascii="Times New Roman" w:hAnsi="Times New Roman" w:cs="Times New Roman"/>
          <w:sz w:val="24"/>
          <w:szCs w:val="24"/>
        </w:rPr>
        <w:t>E</w:t>
      </w:r>
      <w:r w:rsidR="00B73451" w:rsidRPr="0096792B">
        <w:rPr>
          <w:rFonts w:ascii="Times New Roman" w:hAnsi="Times New Roman" w:cs="Times New Roman"/>
          <w:sz w:val="24"/>
          <w:szCs w:val="24"/>
        </w:rPr>
        <w:t xml:space="preserve">ssa abordagem vem contribuindo para os estudos sobre inovação </w:t>
      </w:r>
      <w:r w:rsidR="00B73451">
        <w:rPr>
          <w:rFonts w:ascii="Times New Roman" w:hAnsi="Times New Roman" w:cs="Times New Roman"/>
          <w:sz w:val="24"/>
          <w:szCs w:val="24"/>
        </w:rPr>
        <w:t xml:space="preserve">ao </w:t>
      </w:r>
      <w:r w:rsidR="00DF02AC">
        <w:rPr>
          <w:rFonts w:ascii="Times New Roman" w:hAnsi="Times New Roman" w:cs="Times New Roman"/>
          <w:sz w:val="24"/>
          <w:szCs w:val="24"/>
        </w:rPr>
        <w:t>viabilizar sua medição</w:t>
      </w:r>
      <w:r w:rsidR="00B73451">
        <w:rPr>
          <w:rFonts w:ascii="Times New Roman" w:hAnsi="Times New Roman" w:cs="Times New Roman"/>
          <w:sz w:val="24"/>
          <w:szCs w:val="24"/>
        </w:rPr>
        <w:t xml:space="preserve"> </w:t>
      </w:r>
      <w:r w:rsidR="00D10769">
        <w:rPr>
          <w:rFonts w:ascii="Times New Roman" w:hAnsi="Times New Roman" w:cs="Times New Roman"/>
          <w:sz w:val="24"/>
          <w:szCs w:val="24"/>
        </w:rPr>
        <w:t xml:space="preserve">direta ou </w:t>
      </w:r>
      <w:r w:rsidR="00B73451" w:rsidRPr="00070A87">
        <w:rPr>
          <w:rFonts w:ascii="Times New Roman" w:hAnsi="Times New Roman" w:cs="Times New Roman"/>
          <w:sz w:val="24"/>
          <w:szCs w:val="24"/>
        </w:rPr>
        <w:t xml:space="preserve">indireta </w:t>
      </w:r>
      <w:r w:rsidR="006075C2">
        <w:rPr>
          <w:rFonts w:ascii="Times New Roman" w:hAnsi="Times New Roman" w:cs="Times New Roman"/>
          <w:sz w:val="24"/>
          <w:szCs w:val="24"/>
        </w:rPr>
        <w:t xml:space="preserve">– </w:t>
      </w:r>
      <w:r w:rsidR="00B73451" w:rsidRPr="00070A87">
        <w:rPr>
          <w:rFonts w:ascii="Times New Roman" w:hAnsi="Times New Roman" w:cs="Times New Roman"/>
          <w:sz w:val="24"/>
          <w:szCs w:val="24"/>
        </w:rPr>
        <w:t xml:space="preserve">por exemplo, </w:t>
      </w:r>
      <w:r w:rsidR="00A31DDD" w:rsidRPr="00070A87">
        <w:rPr>
          <w:rFonts w:ascii="Times New Roman" w:hAnsi="Times New Roman" w:cs="Times New Roman"/>
          <w:sz w:val="24"/>
          <w:szCs w:val="24"/>
        </w:rPr>
        <w:t>se realizou ou não inovações tecnológicas</w:t>
      </w:r>
      <w:r w:rsidR="00A31DDD">
        <w:rPr>
          <w:rFonts w:ascii="Times New Roman" w:hAnsi="Times New Roman" w:cs="Times New Roman"/>
          <w:sz w:val="24"/>
          <w:szCs w:val="24"/>
        </w:rPr>
        <w:t>, de um lado, e</w:t>
      </w:r>
      <w:r w:rsidR="00A31DDD" w:rsidRPr="00070A87">
        <w:rPr>
          <w:rFonts w:ascii="Times New Roman" w:hAnsi="Times New Roman" w:cs="Times New Roman"/>
          <w:sz w:val="24"/>
          <w:szCs w:val="24"/>
        </w:rPr>
        <w:t xml:space="preserve"> </w:t>
      </w:r>
      <w:r w:rsidR="00DD617C" w:rsidRPr="00070A87">
        <w:rPr>
          <w:rFonts w:ascii="Times New Roman" w:hAnsi="Times New Roman" w:cs="Times New Roman"/>
          <w:sz w:val="24"/>
          <w:szCs w:val="24"/>
        </w:rPr>
        <w:t>patentes</w:t>
      </w:r>
      <w:r w:rsidR="00DD617C">
        <w:rPr>
          <w:rFonts w:ascii="Times New Roman" w:hAnsi="Times New Roman" w:cs="Times New Roman"/>
          <w:sz w:val="24"/>
          <w:szCs w:val="24"/>
        </w:rPr>
        <w:t xml:space="preserve"> depositadas ou </w:t>
      </w:r>
      <w:r w:rsidR="00DE7C86">
        <w:rPr>
          <w:rFonts w:ascii="Times New Roman" w:hAnsi="Times New Roman" w:cs="Times New Roman"/>
          <w:sz w:val="24"/>
          <w:szCs w:val="24"/>
        </w:rPr>
        <w:t xml:space="preserve">dispêndios </w:t>
      </w:r>
      <w:r w:rsidR="00B73451" w:rsidRPr="00070A87">
        <w:rPr>
          <w:rFonts w:ascii="Times New Roman" w:hAnsi="Times New Roman" w:cs="Times New Roman"/>
          <w:sz w:val="24"/>
          <w:szCs w:val="24"/>
        </w:rPr>
        <w:t>em P&amp;D</w:t>
      </w:r>
      <w:r w:rsidR="00A31DDD">
        <w:rPr>
          <w:rFonts w:ascii="Times New Roman" w:hAnsi="Times New Roman" w:cs="Times New Roman"/>
          <w:sz w:val="24"/>
          <w:szCs w:val="24"/>
        </w:rPr>
        <w:t>, de outro</w:t>
      </w:r>
      <w:r w:rsidR="006075C2">
        <w:rPr>
          <w:rFonts w:ascii="Times New Roman" w:hAnsi="Times New Roman" w:cs="Times New Roman"/>
          <w:sz w:val="24"/>
          <w:szCs w:val="24"/>
        </w:rPr>
        <w:t xml:space="preserve"> – </w:t>
      </w:r>
      <w:r w:rsidR="00B73451" w:rsidRPr="00070A87">
        <w:rPr>
          <w:rFonts w:ascii="Times New Roman" w:hAnsi="Times New Roman" w:cs="Times New Roman"/>
          <w:sz w:val="24"/>
          <w:szCs w:val="24"/>
        </w:rPr>
        <w:t xml:space="preserve">bem como </w:t>
      </w:r>
      <w:r w:rsidR="00B73451">
        <w:rPr>
          <w:rFonts w:ascii="Times New Roman" w:hAnsi="Times New Roman" w:cs="Times New Roman"/>
          <w:sz w:val="24"/>
          <w:szCs w:val="24"/>
        </w:rPr>
        <w:t xml:space="preserve">ao </w:t>
      </w:r>
      <w:r w:rsidR="00B73451" w:rsidRPr="00070A87">
        <w:rPr>
          <w:rFonts w:ascii="Times New Roman" w:hAnsi="Times New Roman" w:cs="Times New Roman"/>
          <w:sz w:val="24"/>
          <w:szCs w:val="24"/>
        </w:rPr>
        <w:t>mape</w:t>
      </w:r>
      <w:r w:rsidR="00B73451">
        <w:rPr>
          <w:rFonts w:ascii="Times New Roman" w:hAnsi="Times New Roman" w:cs="Times New Roman"/>
          <w:sz w:val="24"/>
          <w:szCs w:val="24"/>
        </w:rPr>
        <w:t>ar</w:t>
      </w:r>
      <w:r w:rsidR="00B73451" w:rsidRPr="00070A87">
        <w:rPr>
          <w:rFonts w:ascii="Times New Roman" w:hAnsi="Times New Roman" w:cs="Times New Roman"/>
          <w:sz w:val="24"/>
          <w:szCs w:val="24"/>
        </w:rPr>
        <w:t xml:space="preserve"> fatores intervenientes ligados às características da empresa, ao processo de inovação e ao ambiente competitivo</w:t>
      </w:r>
      <w:r w:rsidRPr="0096792B">
        <w:rPr>
          <w:rFonts w:ascii="Times New Roman" w:hAnsi="Times New Roman" w:cs="Times New Roman"/>
          <w:sz w:val="24"/>
          <w:szCs w:val="24"/>
        </w:rPr>
        <w:t xml:space="preserve"> (</w:t>
      </w:r>
      <w:r w:rsidR="0025013D" w:rsidRPr="0096792B">
        <w:rPr>
          <w:rFonts w:ascii="Times New Roman" w:hAnsi="Times New Roman" w:cs="Times New Roman"/>
          <w:sz w:val="24"/>
          <w:szCs w:val="24"/>
        </w:rPr>
        <w:t xml:space="preserve">HONG </w:t>
      </w:r>
      <w:r w:rsidR="002D73AC" w:rsidRPr="0096792B">
        <w:rPr>
          <w:rFonts w:ascii="Times New Roman" w:hAnsi="Times New Roman" w:cs="Times New Roman"/>
          <w:i/>
          <w:sz w:val="24"/>
          <w:szCs w:val="24"/>
        </w:rPr>
        <w:t>et al</w:t>
      </w:r>
      <w:r w:rsidR="002D73AC" w:rsidRPr="0096792B">
        <w:rPr>
          <w:rFonts w:ascii="Times New Roman" w:hAnsi="Times New Roman" w:cs="Times New Roman"/>
          <w:sz w:val="24"/>
          <w:szCs w:val="24"/>
        </w:rPr>
        <w:t>.,</w:t>
      </w:r>
      <w:r w:rsidRPr="0096792B">
        <w:rPr>
          <w:rFonts w:ascii="Times New Roman" w:hAnsi="Times New Roman" w:cs="Times New Roman"/>
          <w:sz w:val="24"/>
          <w:szCs w:val="24"/>
        </w:rPr>
        <w:t xml:space="preserve"> 2012). </w:t>
      </w:r>
    </w:p>
    <w:p w:rsidR="00773ED5" w:rsidRDefault="00170992" w:rsidP="00C30399">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 xml:space="preserve">O recorte temporal da pesquisa foi interseccional e a população alvo do estudo </w:t>
      </w:r>
      <w:r w:rsidRPr="0096792B">
        <w:rPr>
          <w:rFonts w:ascii="Times New Roman" w:hAnsi="Times New Roman" w:cs="Times New Roman"/>
          <w:sz w:val="24"/>
          <w:szCs w:val="24"/>
        </w:rPr>
        <w:lastRenderedPageBreak/>
        <w:t xml:space="preserve">composta por organizações de SICs de TI de Minas Gerais. </w:t>
      </w:r>
      <w:r w:rsidR="00773ED5">
        <w:rPr>
          <w:rFonts w:ascii="Times New Roman" w:hAnsi="Times New Roman" w:cs="Times New Roman"/>
          <w:sz w:val="24"/>
          <w:szCs w:val="24"/>
        </w:rPr>
        <w:t xml:space="preserve">De acordo com dados de 2015, </w:t>
      </w:r>
      <w:r w:rsidR="00750DF3">
        <w:rPr>
          <w:rFonts w:ascii="Times New Roman" w:hAnsi="Times New Roman" w:cs="Times New Roman"/>
          <w:sz w:val="24"/>
          <w:szCs w:val="24"/>
        </w:rPr>
        <w:t xml:space="preserve">ano de realização da pesquisa de campo, </w:t>
      </w:r>
      <w:r w:rsidR="00773ED5">
        <w:rPr>
          <w:rFonts w:ascii="Times New Roman" w:hAnsi="Times New Roman" w:cs="Times New Roman"/>
          <w:sz w:val="24"/>
          <w:szCs w:val="24"/>
        </w:rPr>
        <w:t>o setor de TI em Minas Gerais</w:t>
      </w:r>
      <w:r w:rsidR="0086771C">
        <w:rPr>
          <w:rFonts w:ascii="Times New Roman" w:hAnsi="Times New Roman" w:cs="Times New Roman"/>
          <w:sz w:val="24"/>
          <w:szCs w:val="24"/>
        </w:rPr>
        <w:t xml:space="preserve"> tinha </w:t>
      </w:r>
      <w:r w:rsidR="00DA1ED8">
        <w:rPr>
          <w:rFonts w:ascii="Times New Roman" w:hAnsi="Times New Roman" w:cs="Times New Roman"/>
          <w:sz w:val="24"/>
          <w:szCs w:val="24"/>
        </w:rPr>
        <w:t>2.665 empresas</w:t>
      </w:r>
      <w:r w:rsidR="00773ED5">
        <w:rPr>
          <w:rStyle w:val="Refdenotaderodap"/>
          <w:rFonts w:ascii="Times New Roman" w:hAnsi="Times New Roman" w:cs="Times New Roman"/>
          <w:sz w:val="24"/>
          <w:szCs w:val="24"/>
        </w:rPr>
        <w:footnoteReference w:id="1"/>
      </w:r>
      <w:r w:rsidR="00DA1ED8">
        <w:rPr>
          <w:rFonts w:ascii="Times New Roman" w:hAnsi="Times New Roman" w:cs="Times New Roman"/>
          <w:sz w:val="24"/>
          <w:szCs w:val="24"/>
        </w:rPr>
        <w:t>.</w:t>
      </w:r>
      <w:r w:rsidR="00B67D10">
        <w:rPr>
          <w:rFonts w:ascii="Times New Roman" w:hAnsi="Times New Roman" w:cs="Times New Roman"/>
          <w:sz w:val="24"/>
          <w:szCs w:val="24"/>
        </w:rPr>
        <w:t xml:space="preserve"> No momento da realização da pesquisa, o setor</w:t>
      </w:r>
      <w:r w:rsidR="00773ED5">
        <w:rPr>
          <w:rFonts w:ascii="Times New Roman" w:hAnsi="Times New Roman" w:cs="Times New Roman"/>
          <w:sz w:val="24"/>
          <w:szCs w:val="24"/>
        </w:rPr>
        <w:t>:</w:t>
      </w:r>
    </w:p>
    <w:p w:rsidR="00773ED5" w:rsidRPr="00B247D4" w:rsidRDefault="009C1F58" w:rsidP="00C30399">
      <w:pPr>
        <w:pStyle w:val="PargrafodaLista"/>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vinha </w:t>
      </w:r>
      <w:r w:rsidR="00773ED5" w:rsidRPr="00B247D4">
        <w:rPr>
          <w:rFonts w:ascii="Times New Roman" w:hAnsi="Times New Roman" w:cs="Times New Roman"/>
          <w:sz w:val="24"/>
          <w:szCs w:val="24"/>
        </w:rPr>
        <w:t xml:space="preserve">sofrendo </w:t>
      </w:r>
      <w:r w:rsidR="00326242">
        <w:rPr>
          <w:rFonts w:ascii="Times New Roman" w:hAnsi="Times New Roman" w:cs="Times New Roman"/>
          <w:sz w:val="24"/>
          <w:szCs w:val="24"/>
        </w:rPr>
        <w:t xml:space="preserve">significativa </w:t>
      </w:r>
      <w:r w:rsidR="00773ED5">
        <w:rPr>
          <w:rFonts w:ascii="Times New Roman" w:hAnsi="Times New Roman" w:cs="Times New Roman"/>
          <w:sz w:val="24"/>
          <w:szCs w:val="24"/>
        </w:rPr>
        <w:t xml:space="preserve">desaceleração </w:t>
      </w:r>
      <w:r>
        <w:rPr>
          <w:rFonts w:ascii="Times New Roman" w:hAnsi="Times New Roman" w:cs="Times New Roman"/>
          <w:sz w:val="24"/>
          <w:szCs w:val="24"/>
        </w:rPr>
        <w:t xml:space="preserve">do </w:t>
      </w:r>
      <w:r w:rsidR="00773ED5">
        <w:rPr>
          <w:rFonts w:ascii="Times New Roman" w:hAnsi="Times New Roman" w:cs="Times New Roman"/>
          <w:sz w:val="24"/>
          <w:szCs w:val="24"/>
        </w:rPr>
        <w:t>crescimento</w:t>
      </w:r>
      <w:r>
        <w:rPr>
          <w:rFonts w:ascii="Times New Roman" w:hAnsi="Times New Roman" w:cs="Times New Roman"/>
          <w:sz w:val="24"/>
          <w:szCs w:val="24"/>
        </w:rPr>
        <w:t xml:space="preserve"> </w:t>
      </w:r>
      <w:r w:rsidRPr="00B247D4">
        <w:rPr>
          <w:rFonts w:ascii="Times New Roman" w:hAnsi="Times New Roman" w:cs="Times New Roman"/>
          <w:sz w:val="24"/>
          <w:szCs w:val="24"/>
        </w:rPr>
        <w:t xml:space="preserve">em emprego e faturamento </w:t>
      </w:r>
      <w:r>
        <w:rPr>
          <w:rFonts w:ascii="Times New Roman" w:hAnsi="Times New Roman" w:cs="Times New Roman"/>
          <w:sz w:val="24"/>
          <w:szCs w:val="24"/>
        </w:rPr>
        <w:t xml:space="preserve">observado </w:t>
      </w:r>
      <w:r w:rsidRPr="00B247D4">
        <w:rPr>
          <w:rFonts w:ascii="Times New Roman" w:hAnsi="Times New Roman" w:cs="Times New Roman"/>
          <w:sz w:val="24"/>
          <w:szCs w:val="24"/>
        </w:rPr>
        <w:t xml:space="preserve">entre 2009 e 2013, </w:t>
      </w:r>
      <w:r w:rsidR="00773ED5" w:rsidRPr="00B247D4">
        <w:rPr>
          <w:rFonts w:ascii="Times New Roman" w:hAnsi="Times New Roman" w:cs="Times New Roman"/>
          <w:sz w:val="24"/>
          <w:szCs w:val="24"/>
        </w:rPr>
        <w:t>acompanhando tendência de outros setores da economia;</w:t>
      </w:r>
    </w:p>
    <w:p w:rsidR="00773ED5" w:rsidRDefault="00773ED5" w:rsidP="00C30399">
      <w:pPr>
        <w:pStyle w:val="PargrafodaLista"/>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em quantidade de </w:t>
      </w:r>
      <w:r w:rsidRPr="00D70E46">
        <w:rPr>
          <w:rFonts w:ascii="Times New Roman" w:hAnsi="Times New Roman" w:cs="Times New Roman"/>
          <w:sz w:val="24"/>
          <w:szCs w:val="24"/>
        </w:rPr>
        <w:t>empresas</w:t>
      </w:r>
      <w:r>
        <w:rPr>
          <w:rFonts w:ascii="Times New Roman" w:hAnsi="Times New Roman" w:cs="Times New Roman"/>
          <w:sz w:val="24"/>
          <w:szCs w:val="24"/>
        </w:rPr>
        <w:t>, representava</w:t>
      </w:r>
      <w:r w:rsidRPr="00D70E46">
        <w:rPr>
          <w:rFonts w:ascii="Times New Roman" w:hAnsi="Times New Roman" w:cs="Times New Roman"/>
          <w:sz w:val="24"/>
          <w:szCs w:val="24"/>
        </w:rPr>
        <w:t xml:space="preserve"> 11% do total nacional em 2013, e</w:t>
      </w:r>
      <w:r>
        <w:rPr>
          <w:rFonts w:ascii="Times New Roman" w:hAnsi="Times New Roman" w:cs="Times New Roman"/>
          <w:sz w:val="24"/>
          <w:szCs w:val="24"/>
        </w:rPr>
        <w:t xml:space="preserve">nquanto que em termos de pessoal ocupado, representava </w:t>
      </w:r>
      <w:r w:rsidRPr="00D70E46">
        <w:rPr>
          <w:rFonts w:ascii="Times New Roman" w:hAnsi="Times New Roman" w:cs="Times New Roman"/>
          <w:sz w:val="24"/>
          <w:szCs w:val="24"/>
        </w:rPr>
        <w:t>7,7% do setor no Brasil</w:t>
      </w:r>
      <w:r>
        <w:rPr>
          <w:rFonts w:ascii="Times New Roman" w:hAnsi="Times New Roman" w:cs="Times New Roman"/>
          <w:sz w:val="24"/>
          <w:szCs w:val="24"/>
        </w:rPr>
        <w:t xml:space="preserve"> (cerca de 46 mil pessoas ocupadas);</w:t>
      </w:r>
    </w:p>
    <w:p w:rsidR="00773ED5" w:rsidRDefault="000B119A" w:rsidP="00C30399">
      <w:pPr>
        <w:pStyle w:val="PargrafodaLista"/>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era</w:t>
      </w:r>
      <w:r w:rsidR="00773ED5">
        <w:rPr>
          <w:rFonts w:ascii="Times New Roman" w:hAnsi="Times New Roman" w:cs="Times New Roman"/>
          <w:sz w:val="24"/>
          <w:szCs w:val="24"/>
        </w:rPr>
        <w:t xml:space="preserve"> composto </w:t>
      </w:r>
      <w:r w:rsidR="00773ED5" w:rsidRPr="00D70E46">
        <w:rPr>
          <w:rFonts w:ascii="Times New Roman" w:hAnsi="Times New Roman" w:cs="Times New Roman"/>
          <w:sz w:val="24"/>
          <w:szCs w:val="24"/>
        </w:rPr>
        <w:t>principalmente por emp</w:t>
      </w:r>
      <w:r w:rsidR="00773ED5">
        <w:rPr>
          <w:rFonts w:ascii="Times New Roman" w:hAnsi="Times New Roman" w:cs="Times New Roman"/>
          <w:sz w:val="24"/>
          <w:szCs w:val="24"/>
        </w:rPr>
        <w:t>resas de micro e pequeno porte;</w:t>
      </w:r>
    </w:p>
    <w:p w:rsidR="00773ED5" w:rsidRPr="00D70E46" w:rsidRDefault="00CE3F5B" w:rsidP="00C30399">
      <w:pPr>
        <w:pStyle w:val="PargrafodaLista"/>
        <w:numPr>
          <w:ilvl w:val="0"/>
          <w:numId w:val="3"/>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possuía </w:t>
      </w:r>
      <w:r w:rsidR="00773ED5">
        <w:rPr>
          <w:rFonts w:ascii="Times New Roman" w:hAnsi="Times New Roman" w:cs="Times New Roman"/>
          <w:sz w:val="24"/>
          <w:szCs w:val="24"/>
        </w:rPr>
        <w:t>como atividades econômicas de maior faturamento</w:t>
      </w:r>
      <w:r w:rsidR="00773ED5" w:rsidRPr="00D045A5">
        <w:rPr>
          <w:rFonts w:ascii="Times New Roman" w:hAnsi="Times New Roman" w:cs="Times New Roman"/>
          <w:sz w:val="24"/>
          <w:szCs w:val="24"/>
        </w:rPr>
        <w:t xml:space="preserve"> </w:t>
      </w:r>
      <w:r w:rsidR="00773ED5">
        <w:rPr>
          <w:rFonts w:ascii="Times New Roman" w:hAnsi="Times New Roman" w:cs="Times New Roman"/>
          <w:sz w:val="24"/>
          <w:szCs w:val="24"/>
        </w:rPr>
        <w:t xml:space="preserve">os </w:t>
      </w:r>
      <w:r w:rsidR="00773ED5" w:rsidRPr="00D045A5">
        <w:rPr>
          <w:rFonts w:ascii="Times New Roman" w:hAnsi="Times New Roman" w:cs="Times New Roman"/>
          <w:sz w:val="24"/>
          <w:szCs w:val="24"/>
        </w:rPr>
        <w:t xml:space="preserve">serviços de análise de sistemas, assessoria e consultoria em informática, </w:t>
      </w:r>
      <w:r w:rsidR="00773ED5">
        <w:rPr>
          <w:rFonts w:ascii="Times New Roman" w:hAnsi="Times New Roman" w:cs="Times New Roman"/>
          <w:sz w:val="24"/>
          <w:szCs w:val="24"/>
        </w:rPr>
        <w:t xml:space="preserve">outros serviços de </w:t>
      </w:r>
      <w:r w:rsidR="00773ED5" w:rsidRPr="00D045A5">
        <w:rPr>
          <w:rFonts w:ascii="Times New Roman" w:hAnsi="Times New Roman" w:cs="Times New Roman"/>
          <w:sz w:val="24"/>
          <w:szCs w:val="24"/>
        </w:rPr>
        <w:t>processamento de dados</w:t>
      </w:r>
      <w:r w:rsidR="00773ED5">
        <w:rPr>
          <w:rFonts w:ascii="Times New Roman" w:hAnsi="Times New Roman" w:cs="Times New Roman"/>
          <w:sz w:val="24"/>
          <w:szCs w:val="24"/>
        </w:rPr>
        <w:t xml:space="preserve"> e</w:t>
      </w:r>
      <w:r w:rsidR="00773ED5" w:rsidRPr="00D045A5">
        <w:rPr>
          <w:rFonts w:ascii="Times New Roman" w:hAnsi="Times New Roman" w:cs="Times New Roman"/>
          <w:sz w:val="24"/>
          <w:szCs w:val="24"/>
        </w:rPr>
        <w:t xml:space="preserve"> desenvolvimento de programas de computador.</w:t>
      </w:r>
    </w:p>
    <w:p w:rsidR="00773ED5" w:rsidRDefault="00773ED5" w:rsidP="00773ED5">
      <w:pPr>
        <w:spacing w:after="0" w:line="240" w:lineRule="auto"/>
        <w:ind w:firstLine="708"/>
        <w:jc w:val="both"/>
        <w:rPr>
          <w:rFonts w:ascii="Times New Roman" w:hAnsi="Times New Roman" w:cs="Times New Roman"/>
          <w:sz w:val="24"/>
          <w:szCs w:val="24"/>
        </w:rPr>
      </w:pPr>
    </w:p>
    <w:p w:rsidR="00170992" w:rsidRPr="00B30AB6" w:rsidRDefault="00170992"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Foram consideradas para compor a amostra empresas cujas atividades estão englobadas nas divisões 62 e 63 da seção J “Informação e Comunicação” da Classificação Nacional das Atividades Econômicas (CNAE 2.0). O processo de seleção ocorreu por amostragem não probabilística por acessibilidade (</w:t>
      </w:r>
      <w:r w:rsidR="0025013D" w:rsidRPr="0096792B">
        <w:rPr>
          <w:rFonts w:ascii="Times New Roman" w:hAnsi="Times New Roman" w:cs="Times New Roman"/>
          <w:sz w:val="24"/>
          <w:szCs w:val="24"/>
        </w:rPr>
        <w:t>COOPER; SCHINDLER, 2</w:t>
      </w:r>
      <w:r w:rsidRPr="0096792B">
        <w:rPr>
          <w:rFonts w:ascii="Times New Roman" w:hAnsi="Times New Roman" w:cs="Times New Roman"/>
          <w:sz w:val="24"/>
          <w:szCs w:val="24"/>
        </w:rPr>
        <w:t>003), com amostra extraída de cadastro setorial associativo durante o terceiro tri</w:t>
      </w:r>
      <w:r w:rsidR="00775284" w:rsidRPr="0096792B">
        <w:rPr>
          <w:rFonts w:ascii="Times New Roman" w:hAnsi="Times New Roman" w:cs="Times New Roman"/>
          <w:sz w:val="24"/>
          <w:szCs w:val="24"/>
        </w:rPr>
        <w:t>mestre de 2015 que se dispôs</w:t>
      </w:r>
      <w:r w:rsidRPr="0096792B">
        <w:rPr>
          <w:rFonts w:ascii="Times New Roman" w:hAnsi="Times New Roman" w:cs="Times New Roman"/>
          <w:sz w:val="24"/>
          <w:szCs w:val="24"/>
        </w:rPr>
        <w:t xml:space="preserve"> a participar desse levantamento. Destaca-se que procedimentos de amostragem não probabilística vêm sendo utilizados nas pesquisas sobre inovação (</w:t>
      </w:r>
      <w:r w:rsidR="0025013D" w:rsidRPr="0096792B">
        <w:rPr>
          <w:rFonts w:ascii="Times New Roman" w:hAnsi="Times New Roman" w:cs="Times New Roman"/>
          <w:sz w:val="24"/>
          <w:szCs w:val="24"/>
        </w:rPr>
        <w:t xml:space="preserve">RIBEIRO </w:t>
      </w:r>
      <w:r w:rsidRPr="0096792B">
        <w:rPr>
          <w:rFonts w:ascii="Times New Roman" w:hAnsi="Times New Roman" w:cs="Times New Roman"/>
          <w:i/>
          <w:sz w:val="24"/>
          <w:szCs w:val="24"/>
        </w:rPr>
        <w:t>et al.</w:t>
      </w:r>
      <w:r w:rsidRPr="0096792B">
        <w:rPr>
          <w:rFonts w:ascii="Times New Roman" w:hAnsi="Times New Roman" w:cs="Times New Roman"/>
          <w:sz w:val="24"/>
          <w:szCs w:val="24"/>
        </w:rPr>
        <w:t xml:space="preserve">, 2011; </w:t>
      </w:r>
      <w:r w:rsidR="0025013D" w:rsidRPr="0096792B">
        <w:rPr>
          <w:rFonts w:ascii="Times New Roman" w:hAnsi="Times New Roman" w:cs="Times New Roman"/>
          <w:sz w:val="24"/>
          <w:szCs w:val="24"/>
        </w:rPr>
        <w:t>SANTOS</w:t>
      </w:r>
      <w:r w:rsidR="0025013D" w:rsidRPr="0096792B">
        <w:rPr>
          <w:rFonts w:ascii="Times New Roman" w:hAnsi="Times New Roman" w:cs="Times New Roman"/>
          <w:i/>
          <w:sz w:val="24"/>
          <w:szCs w:val="24"/>
        </w:rPr>
        <w:t xml:space="preserve"> </w:t>
      </w:r>
      <w:r w:rsidRPr="0096792B">
        <w:rPr>
          <w:rFonts w:ascii="Times New Roman" w:hAnsi="Times New Roman" w:cs="Times New Roman"/>
          <w:i/>
          <w:sz w:val="24"/>
          <w:szCs w:val="24"/>
        </w:rPr>
        <w:t>et al.</w:t>
      </w:r>
      <w:r w:rsidRPr="0096792B">
        <w:rPr>
          <w:rFonts w:ascii="Times New Roman" w:hAnsi="Times New Roman" w:cs="Times New Roman"/>
          <w:sz w:val="24"/>
          <w:szCs w:val="24"/>
        </w:rPr>
        <w:t xml:space="preserve">, 2014). A quantidade de 44 empresas que responderam à pesquisa por faixa de pessoal ocupado é apresentada na Tabela 1. Os </w:t>
      </w:r>
      <w:r w:rsidRPr="00B30AB6">
        <w:rPr>
          <w:rFonts w:ascii="Times New Roman" w:hAnsi="Times New Roman" w:cs="Times New Roman"/>
          <w:sz w:val="24"/>
          <w:szCs w:val="24"/>
        </w:rPr>
        <w:t>respondentes</w:t>
      </w:r>
      <w:r w:rsidR="00B30AB6" w:rsidRPr="00B30AB6">
        <w:rPr>
          <w:rFonts w:ascii="Times New Roman" w:hAnsi="Times New Roman" w:cs="Times New Roman"/>
          <w:sz w:val="24"/>
          <w:szCs w:val="24"/>
        </w:rPr>
        <w:t xml:space="preserve"> eram os gestores responsáveis </w:t>
      </w:r>
      <w:r w:rsidR="00B30AB6" w:rsidRPr="00B30AB6">
        <w:rPr>
          <w:rFonts w:ascii="Times New Roman" w:hAnsi="Times New Roman" w:cs="Times New Roman"/>
          <w:sz w:val="24"/>
          <w:szCs w:val="24"/>
        </w:rPr>
        <w:lastRenderedPageBreak/>
        <w:t>pela gestão da inovação nas empresas, da seguinte forma: 38 execut</w:t>
      </w:r>
      <w:r w:rsidR="00B30AB6" w:rsidRPr="0096792B">
        <w:rPr>
          <w:rFonts w:ascii="Times New Roman" w:hAnsi="Times New Roman" w:cs="Times New Roman"/>
          <w:sz w:val="24"/>
          <w:szCs w:val="24"/>
        </w:rPr>
        <w:t xml:space="preserve">ivos </w:t>
      </w:r>
      <w:r w:rsidR="00B30AB6">
        <w:rPr>
          <w:rFonts w:ascii="Times New Roman" w:hAnsi="Times New Roman" w:cs="Times New Roman"/>
          <w:sz w:val="24"/>
          <w:szCs w:val="24"/>
        </w:rPr>
        <w:t>(CEOs, diretores ou sócios), três gerentes e dois analistas</w:t>
      </w:r>
      <w:r w:rsidRPr="00B30AB6">
        <w:rPr>
          <w:rFonts w:ascii="Times New Roman" w:hAnsi="Times New Roman" w:cs="Times New Roman"/>
          <w:sz w:val="24"/>
          <w:szCs w:val="24"/>
        </w:rPr>
        <w:t>.</w:t>
      </w:r>
    </w:p>
    <w:p w:rsidR="00C658D3" w:rsidRPr="00AA2ECF" w:rsidRDefault="00C658D3" w:rsidP="00C658D3">
      <w:pPr>
        <w:pStyle w:val="ListasFigurasTese"/>
        <w:spacing w:before="0"/>
        <w:ind w:left="709"/>
        <w:jc w:val="center"/>
        <w:rPr>
          <w:rFonts w:cs="Times New Roman"/>
          <w:b w:val="0"/>
          <w:sz w:val="24"/>
          <w:szCs w:val="24"/>
        </w:rPr>
      </w:pPr>
      <w:r w:rsidRPr="00AA2ECF">
        <w:rPr>
          <w:rFonts w:cs="Times New Roman"/>
          <w:sz w:val="24"/>
          <w:szCs w:val="24"/>
        </w:rPr>
        <w:t xml:space="preserve">Tabela 1 </w:t>
      </w:r>
      <w:r w:rsidRPr="00AA2ECF">
        <w:rPr>
          <w:rFonts w:cs="Times New Roman"/>
          <w:b w:val="0"/>
          <w:sz w:val="24"/>
          <w:szCs w:val="24"/>
        </w:rPr>
        <w:t>- Composição final da amostra e taxas de resposta</w:t>
      </w:r>
    </w:p>
    <w:p w:rsidR="00C658D3" w:rsidRPr="00AA2ECF" w:rsidRDefault="00C658D3" w:rsidP="00C658D3"/>
    <w:tbl>
      <w:tblPr>
        <w:tblStyle w:val="TabelaSimples21"/>
        <w:tblW w:w="9003" w:type="dxa"/>
        <w:jc w:val="center"/>
        <w:tblLook w:val="0620" w:firstRow="1" w:lastRow="0" w:firstColumn="0" w:lastColumn="0" w:noHBand="1" w:noVBand="1"/>
      </w:tblPr>
      <w:tblGrid>
        <w:gridCol w:w="3347"/>
        <w:gridCol w:w="1638"/>
        <w:gridCol w:w="1957"/>
        <w:gridCol w:w="2061"/>
      </w:tblGrid>
      <w:tr w:rsidR="00C658D3" w:rsidRPr="00AA2ECF" w:rsidTr="00096FC7">
        <w:trPr>
          <w:cnfStyle w:val="100000000000" w:firstRow="1" w:lastRow="0" w:firstColumn="0" w:lastColumn="0" w:oddVBand="0" w:evenVBand="0" w:oddHBand="0" w:evenHBand="0" w:firstRowFirstColumn="0" w:firstRowLastColumn="0" w:lastRowFirstColumn="0" w:lastRowLastColumn="0"/>
          <w:trHeight w:val="20"/>
          <w:jc w:val="center"/>
        </w:trPr>
        <w:tc>
          <w:tcPr>
            <w:tcW w:w="3347"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Pessoal ocupado</w:t>
            </w:r>
          </w:p>
        </w:tc>
        <w:tc>
          <w:tcPr>
            <w:tcW w:w="1638"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População</w:t>
            </w:r>
          </w:p>
        </w:tc>
        <w:tc>
          <w:tcPr>
            <w:tcW w:w="1957"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Amostra</w:t>
            </w:r>
          </w:p>
        </w:tc>
        <w:tc>
          <w:tcPr>
            <w:tcW w:w="2061"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Taxa de resposta</w:t>
            </w:r>
          </w:p>
        </w:tc>
      </w:tr>
      <w:tr w:rsidR="00C658D3" w:rsidRPr="00AA2ECF" w:rsidTr="00096FC7">
        <w:trPr>
          <w:trHeight w:val="20"/>
          <w:jc w:val="center"/>
        </w:trPr>
        <w:tc>
          <w:tcPr>
            <w:tcW w:w="3347"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&lt;=9</w:t>
            </w:r>
          </w:p>
        </w:tc>
        <w:tc>
          <w:tcPr>
            <w:tcW w:w="1638"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362</w:t>
            </w:r>
          </w:p>
        </w:tc>
        <w:tc>
          <w:tcPr>
            <w:tcW w:w="1957"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14</w:t>
            </w:r>
          </w:p>
        </w:tc>
        <w:tc>
          <w:tcPr>
            <w:tcW w:w="2061"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4%</w:t>
            </w:r>
          </w:p>
        </w:tc>
      </w:tr>
      <w:tr w:rsidR="00C658D3" w:rsidRPr="00AA2ECF" w:rsidTr="00096FC7">
        <w:trPr>
          <w:trHeight w:val="20"/>
          <w:jc w:val="center"/>
        </w:trPr>
        <w:tc>
          <w:tcPr>
            <w:tcW w:w="3347"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10 a 50</w:t>
            </w:r>
          </w:p>
        </w:tc>
        <w:tc>
          <w:tcPr>
            <w:tcW w:w="1638"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150</w:t>
            </w:r>
          </w:p>
        </w:tc>
        <w:tc>
          <w:tcPr>
            <w:tcW w:w="1957"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22</w:t>
            </w:r>
          </w:p>
        </w:tc>
        <w:tc>
          <w:tcPr>
            <w:tcW w:w="2061"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15%</w:t>
            </w:r>
          </w:p>
        </w:tc>
      </w:tr>
      <w:tr w:rsidR="00C658D3" w:rsidRPr="00AA2ECF" w:rsidTr="00096FC7">
        <w:trPr>
          <w:trHeight w:val="20"/>
          <w:jc w:val="center"/>
        </w:trPr>
        <w:tc>
          <w:tcPr>
            <w:tcW w:w="3347"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51 a 100</w:t>
            </w:r>
          </w:p>
        </w:tc>
        <w:tc>
          <w:tcPr>
            <w:tcW w:w="1638"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28</w:t>
            </w:r>
          </w:p>
        </w:tc>
        <w:tc>
          <w:tcPr>
            <w:tcW w:w="1957"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1</w:t>
            </w:r>
          </w:p>
        </w:tc>
        <w:tc>
          <w:tcPr>
            <w:tcW w:w="2061"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4%</w:t>
            </w:r>
          </w:p>
        </w:tc>
      </w:tr>
      <w:tr w:rsidR="00C658D3" w:rsidRPr="00AA2ECF" w:rsidTr="00096FC7">
        <w:trPr>
          <w:trHeight w:val="20"/>
          <w:jc w:val="center"/>
        </w:trPr>
        <w:tc>
          <w:tcPr>
            <w:tcW w:w="3347"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101 a 270</w:t>
            </w:r>
          </w:p>
        </w:tc>
        <w:tc>
          <w:tcPr>
            <w:tcW w:w="1638"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21</w:t>
            </w:r>
          </w:p>
        </w:tc>
        <w:tc>
          <w:tcPr>
            <w:tcW w:w="1957"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6</w:t>
            </w:r>
          </w:p>
        </w:tc>
        <w:tc>
          <w:tcPr>
            <w:tcW w:w="2061" w:type="dxa"/>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29%</w:t>
            </w:r>
          </w:p>
        </w:tc>
      </w:tr>
      <w:tr w:rsidR="00C658D3" w:rsidRPr="00AA2ECF" w:rsidTr="00096FC7">
        <w:trPr>
          <w:trHeight w:val="20"/>
          <w:jc w:val="center"/>
        </w:trPr>
        <w:tc>
          <w:tcPr>
            <w:tcW w:w="3347" w:type="dxa"/>
            <w:tcBorders>
              <w:bottom w:val="nil"/>
            </w:tcBorders>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271 a 420</w:t>
            </w:r>
          </w:p>
        </w:tc>
        <w:tc>
          <w:tcPr>
            <w:tcW w:w="1638" w:type="dxa"/>
            <w:tcBorders>
              <w:bottom w:val="nil"/>
            </w:tcBorders>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5</w:t>
            </w:r>
          </w:p>
        </w:tc>
        <w:tc>
          <w:tcPr>
            <w:tcW w:w="1957" w:type="dxa"/>
            <w:tcBorders>
              <w:bottom w:val="nil"/>
            </w:tcBorders>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0</w:t>
            </w:r>
          </w:p>
        </w:tc>
        <w:tc>
          <w:tcPr>
            <w:tcW w:w="2061" w:type="dxa"/>
            <w:tcBorders>
              <w:bottom w:val="nil"/>
            </w:tcBorders>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0%</w:t>
            </w:r>
          </w:p>
        </w:tc>
      </w:tr>
      <w:tr w:rsidR="00C658D3" w:rsidRPr="00AA2ECF" w:rsidTr="00096FC7">
        <w:trPr>
          <w:trHeight w:val="87"/>
          <w:jc w:val="center"/>
        </w:trPr>
        <w:tc>
          <w:tcPr>
            <w:tcW w:w="3347" w:type="dxa"/>
            <w:tcBorders>
              <w:top w:val="nil"/>
              <w:bottom w:val="single" w:sz="4" w:space="0" w:color="auto"/>
            </w:tcBorders>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&gt;= 450</w:t>
            </w:r>
          </w:p>
        </w:tc>
        <w:tc>
          <w:tcPr>
            <w:tcW w:w="1638" w:type="dxa"/>
            <w:tcBorders>
              <w:top w:val="nil"/>
              <w:bottom w:val="single" w:sz="4" w:space="0" w:color="auto"/>
            </w:tcBorders>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6</w:t>
            </w:r>
          </w:p>
        </w:tc>
        <w:tc>
          <w:tcPr>
            <w:tcW w:w="1957" w:type="dxa"/>
            <w:tcBorders>
              <w:top w:val="nil"/>
              <w:bottom w:val="single" w:sz="4" w:space="0" w:color="auto"/>
            </w:tcBorders>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1</w:t>
            </w:r>
          </w:p>
        </w:tc>
        <w:tc>
          <w:tcPr>
            <w:tcW w:w="2061" w:type="dxa"/>
            <w:tcBorders>
              <w:top w:val="nil"/>
              <w:bottom w:val="single" w:sz="4" w:space="0" w:color="auto"/>
            </w:tcBorders>
            <w:vAlign w:val="center"/>
            <w:hideMark/>
          </w:tcPr>
          <w:p w:rsidR="00C658D3" w:rsidRPr="00AA2ECF" w:rsidRDefault="00C658D3" w:rsidP="00096FC7">
            <w:pPr>
              <w:contextualSpacing/>
              <w:rPr>
                <w:rFonts w:ascii="Times New Roman" w:hAnsi="Times New Roman" w:cs="Times New Roman"/>
                <w:sz w:val="20"/>
                <w:szCs w:val="20"/>
              </w:rPr>
            </w:pPr>
            <w:r w:rsidRPr="00AA2ECF">
              <w:rPr>
                <w:rFonts w:ascii="Times New Roman" w:hAnsi="Times New Roman" w:cs="Times New Roman"/>
                <w:sz w:val="20"/>
                <w:szCs w:val="20"/>
              </w:rPr>
              <w:t>17%</w:t>
            </w:r>
          </w:p>
        </w:tc>
      </w:tr>
      <w:tr w:rsidR="00C658D3" w:rsidRPr="00AA2ECF" w:rsidTr="00096FC7">
        <w:trPr>
          <w:trHeight w:val="20"/>
          <w:jc w:val="center"/>
        </w:trPr>
        <w:tc>
          <w:tcPr>
            <w:tcW w:w="3347" w:type="dxa"/>
            <w:tcBorders>
              <w:top w:val="single" w:sz="4" w:space="0" w:color="auto"/>
              <w:bottom w:val="single" w:sz="4" w:space="0" w:color="auto"/>
            </w:tcBorders>
            <w:vAlign w:val="center"/>
            <w:hideMark/>
          </w:tcPr>
          <w:p w:rsidR="00C658D3" w:rsidRPr="00AA2ECF" w:rsidRDefault="00C658D3" w:rsidP="00096FC7">
            <w:pPr>
              <w:contextualSpacing/>
              <w:rPr>
                <w:rFonts w:ascii="Times New Roman" w:hAnsi="Times New Roman" w:cs="Times New Roman"/>
                <w:b/>
                <w:sz w:val="20"/>
                <w:szCs w:val="20"/>
              </w:rPr>
            </w:pPr>
            <w:r w:rsidRPr="00AA2ECF">
              <w:rPr>
                <w:rFonts w:ascii="Times New Roman" w:hAnsi="Times New Roman" w:cs="Times New Roman"/>
                <w:b/>
                <w:sz w:val="20"/>
                <w:szCs w:val="20"/>
              </w:rPr>
              <w:t>Total geral</w:t>
            </w:r>
          </w:p>
        </w:tc>
        <w:tc>
          <w:tcPr>
            <w:tcW w:w="1638" w:type="dxa"/>
            <w:tcBorders>
              <w:top w:val="single" w:sz="4" w:space="0" w:color="auto"/>
              <w:bottom w:val="single" w:sz="4" w:space="0" w:color="auto"/>
            </w:tcBorders>
            <w:vAlign w:val="center"/>
            <w:hideMark/>
          </w:tcPr>
          <w:p w:rsidR="00C658D3" w:rsidRPr="00AA2ECF" w:rsidRDefault="00C658D3" w:rsidP="00096FC7">
            <w:pPr>
              <w:contextualSpacing/>
              <w:rPr>
                <w:rFonts w:ascii="Times New Roman" w:hAnsi="Times New Roman" w:cs="Times New Roman"/>
                <w:b/>
                <w:sz w:val="20"/>
                <w:szCs w:val="20"/>
              </w:rPr>
            </w:pPr>
            <w:r w:rsidRPr="00AA2ECF">
              <w:rPr>
                <w:rFonts w:ascii="Times New Roman" w:hAnsi="Times New Roman" w:cs="Times New Roman"/>
                <w:b/>
                <w:sz w:val="20"/>
                <w:szCs w:val="20"/>
              </w:rPr>
              <w:t>572</w:t>
            </w:r>
          </w:p>
        </w:tc>
        <w:tc>
          <w:tcPr>
            <w:tcW w:w="1957" w:type="dxa"/>
            <w:tcBorders>
              <w:top w:val="single" w:sz="4" w:space="0" w:color="auto"/>
              <w:bottom w:val="single" w:sz="4" w:space="0" w:color="auto"/>
            </w:tcBorders>
            <w:vAlign w:val="center"/>
            <w:hideMark/>
          </w:tcPr>
          <w:p w:rsidR="00C658D3" w:rsidRPr="00AA2ECF" w:rsidRDefault="00C658D3" w:rsidP="00096FC7">
            <w:pPr>
              <w:contextualSpacing/>
              <w:rPr>
                <w:rFonts w:ascii="Times New Roman" w:hAnsi="Times New Roman" w:cs="Times New Roman"/>
                <w:b/>
                <w:sz w:val="20"/>
                <w:szCs w:val="20"/>
              </w:rPr>
            </w:pPr>
            <w:r w:rsidRPr="00AA2ECF">
              <w:rPr>
                <w:rFonts w:ascii="Times New Roman" w:hAnsi="Times New Roman" w:cs="Times New Roman"/>
                <w:b/>
                <w:sz w:val="20"/>
                <w:szCs w:val="20"/>
              </w:rPr>
              <w:t>44</w:t>
            </w:r>
          </w:p>
        </w:tc>
        <w:tc>
          <w:tcPr>
            <w:tcW w:w="2061" w:type="dxa"/>
            <w:tcBorders>
              <w:top w:val="single" w:sz="4" w:space="0" w:color="auto"/>
              <w:bottom w:val="single" w:sz="4" w:space="0" w:color="auto"/>
            </w:tcBorders>
            <w:vAlign w:val="center"/>
            <w:hideMark/>
          </w:tcPr>
          <w:p w:rsidR="00C658D3" w:rsidRPr="00AA2ECF" w:rsidRDefault="00C658D3" w:rsidP="00096FC7">
            <w:pPr>
              <w:contextualSpacing/>
              <w:rPr>
                <w:rFonts w:ascii="Times New Roman" w:hAnsi="Times New Roman" w:cs="Times New Roman"/>
                <w:b/>
                <w:sz w:val="20"/>
                <w:szCs w:val="20"/>
              </w:rPr>
            </w:pPr>
            <w:r w:rsidRPr="00AA2ECF">
              <w:rPr>
                <w:rFonts w:ascii="Times New Roman" w:hAnsi="Times New Roman" w:cs="Times New Roman"/>
                <w:b/>
                <w:sz w:val="20"/>
                <w:szCs w:val="20"/>
              </w:rPr>
              <w:t>8%</w:t>
            </w:r>
          </w:p>
        </w:tc>
      </w:tr>
    </w:tbl>
    <w:p w:rsidR="00C658D3" w:rsidRPr="00AA2ECF" w:rsidRDefault="00C658D3" w:rsidP="00C658D3">
      <w:pPr>
        <w:spacing w:after="0" w:line="240" w:lineRule="auto"/>
        <w:ind w:right="-2"/>
        <w:rPr>
          <w:rFonts w:ascii="Times New Roman" w:hAnsi="Times New Roman" w:cs="Times New Roman"/>
          <w:sz w:val="20"/>
          <w:szCs w:val="20"/>
        </w:rPr>
      </w:pPr>
      <w:r w:rsidRPr="00AA2ECF">
        <w:rPr>
          <w:rFonts w:ascii="Times New Roman" w:hAnsi="Times New Roman" w:cs="Times New Roman"/>
          <w:sz w:val="20"/>
          <w:szCs w:val="20"/>
        </w:rPr>
        <w:t>Fonte: elaborado pelos autores a partir de dados da pesquisa. No caso das empresas com mais de 10 empregados, a população identificada foi de 210 e a amostra foi de 30 respondentes, representando uma taxa de resposta de 14%, em linha com a média de 10 a 25%, segundo Sauermann e Roach (2013).</w:t>
      </w:r>
    </w:p>
    <w:p w:rsidR="00C658D3" w:rsidRDefault="00C658D3" w:rsidP="00C658D3">
      <w:pPr>
        <w:rPr>
          <w:rFonts w:ascii="Times New Roman" w:hAnsi="Times New Roman" w:cs="Times New Roman"/>
          <w:b/>
          <w:sz w:val="24"/>
          <w:szCs w:val="24"/>
        </w:rPr>
      </w:pPr>
    </w:p>
    <w:p w:rsidR="001122EE" w:rsidRDefault="00482A20" w:rsidP="0096792B">
      <w:pPr>
        <w:spacing w:after="240" w:line="480" w:lineRule="auto"/>
        <w:ind w:firstLine="708"/>
        <w:rPr>
          <w:rFonts w:ascii="Times New Roman" w:hAnsi="Times New Roman" w:cs="Times New Roman"/>
          <w:sz w:val="24"/>
          <w:szCs w:val="24"/>
        </w:rPr>
      </w:pPr>
      <w:bookmarkStart w:id="2" w:name="_Hlk512627688"/>
      <w:bookmarkStart w:id="3" w:name="_Toc444857138"/>
      <w:r w:rsidRPr="00B30AB6">
        <w:rPr>
          <w:rFonts w:ascii="Times New Roman" w:hAnsi="Times New Roman" w:cs="Times New Roman"/>
          <w:sz w:val="24"/>
          <w:szCs w:val="24"/>
        </w:rPr>
        <w:t>O Quadro 1</w:t>
      </w:r>
      <w:r w:rsidR="001122EE" w:rsidRPr="00B30AB6">
        <w:rPr>
          <w:rFonts w:ascii="Times New Roman" w:hAnsi="Times New Roman" w:cs="Times New Roman"/>
          <w:sz w:val="24"/>
          <w:szCs w:val="24"/>
        </w:rPr>
        <w:t xml:space="preserve"> </w:t>
      </w:r>
      <w:r w:rsidR="004C2C28" w:rsidRPr="00B30AB6">
        <w:rPr>
          <w:rFonts w:ascii="Times New Roman" w:hAnsi="Times New Roman" w:cs="Times New Roman"/>
          <w:sz w:val="24"/>
          <w:szCs w:val="24"/>
        </w:rPr>
        <w:t>resume as categorias do modelo e os itens incluídos no questionário</w:t>
      </w:r>
      <w:r w:rsidR="001122EE" w:rsidRPr="00B30AB6">
        <w:rPr>
          <w:rFonts w:ascii="Times New Roman" w:hAnsi="Times New Roman" w:cs="Times New Roman"/>
          <w:sz w:val="24"/>
          <w:szCs w:val="24"/>
        </w:rPr>
        <w:t>, que combinaram sólidas medidas utilizadas em outros estudos – por exemplo, IBGE (2016) – e outras alinhadas ao modelo conceitual</w:t>
      </w:r>
      <w:r w:rsidR="007934BF">
        <w:rPr>
          <w:rFonts w:ascii="Times New Roman" w:hAnsi="Times New Roman" w:cs="Times New Roman"/>
          <w:sz w:val="24"/>
          <w:szCs w:val="24"/>
        </w:rPr>
        <w:t xml:space="preserve">, incluindo escalas </w:t>
      </w:r>
      <w:r w:rsidR="003A06A5">
        <w:rPr>
          <w:rFonts w:ascii="Times New Roman" w:hAnsi="Times New Roman" w:cs="Times New Roman"/>
          <w:sz w:val="24"/>
          <w:szCs w:val="24"/>
        </w:rPr>
        <w:t>ordinais</w:t>
      </w:r>
      <w:r w:rsidR="007934BF">
        <w:rPr>
          <w:rFonts w:ascii="Times New Roman" w:hAnsi="Times New Roman" w:cs="Times New Roman"/>
          <w:sz w:val="24"/>
          <w:szCs w:val="24"/>
        </w:rPr>
        <w:t xml:space="preserve"> para medir a inovação, escalas binárias para medir as atividades inovativas e escalas contínuas para medir variáveis relativas a idade, tempo de atuação, dentre outras</w:t>
      </w:r>
      <w:r w:rsidR="008607E3">
        <w:rPr>
          <w:rFonts w:ascii="Times New Roman" w:hAnsi="Times New Roman" w:cs="Times New Roman"/>
          <w:sz w:val="24"/>
          <w:szCs w:val="24"/>
        </w:rPr>
        <w:t xml:space="preserve"> variáveis</w:t>
      </w:r>
      <w:bookmarkEnd w:id="2"/>
      <w:r w:rsidR="001122EE" w:rsidRPr="00B30AB6">
        <w:rPr>
          <w:rFonts w:ascii="Times New Roman" w:hAnsi="Times New Roman" w:cs="Times New Roman"/>
          <w:sz w:val="24"/>
          <w:szCs w:val="24"/>
        </w:rPr>
        <w:t>.</w:t>
      </w:r>
      <w:r w:rsidR="004C2C28" w:rsidRPr="0096792B">
        <w:rPr>
          <w:rFonts w:ascii="Times New Roman" w:hAnsi="Times New Roman" w:cs="Times New Roman"/>
          <w:sz w:val="24"/>
          <w:szCs w:val="24"/>
        </w:rPr>
        <w:t xml:space="preserve"> </w:t>
      </w:r>
    </w:p>
    <w:p w:rsidR="00747A8D" w:rsidRDefault="00747A8D" w:rsidP="00747A8D">
      <w:pPr>
        <w:pStyle w:val="ListasFigurasTese"/>
        <w:spacing w:before="0" w:line="480" w:lineRule="auto"/>
        <w:ind w:left="709"/>
        <w:jc w:val="center"/>
        <w:rPr>
          <w:rFonts w:cs="Times New Roman"/>
          <w:b w:val="0"/>
          <w:sz w:val="24"/>
          <w:szCs w:val="24"/>
        </w:rPr>
      </w:pPr>
      <w:r>
        <w:rPr>
          <w:rFonts w:cs="Times New Roman"/>
          <w:sz w:val="24"/>
          <w:szCs w:val="24"/>
        </w:rPr>
        <w:t>Quadro 1</w:t>
      </w:r>
      <w:r w:rsidRPr="0096792B">
        <w:rPr>
          <w:rFonts w:cs="Times New Roman"/>
          <w:sz w:val="24"/>
          <w:szCs w:val="24"/>
        </w:rPr>
        <w:t xml:space="preserve"> </w:t>
      </w:r>
      <w:r w:rsidRPr="0096792B">
        <w:rPr>
          <w:rFonts w:cs="Times New Roman"/>
          <w:b w:val="0"/>
          <w:sz w:val="24"/>
          <w:szCs w:val="24"/>
        </w:rPr>
        <w:t>- Quadro de variáveis por categoria.</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7796"/>
      </w:tblGrid>
      <w:tr w:rsidR="005C67AE" w:rsidRPr="005C67AE" w:rsidTr="005C67AE">
        <w:trPr>
          <w:trHeight w:val="513"/>
          <w:tblHeader/>
        </w:trPr>
        <w:tc>
          <w:tcPr>
            <w:tcW w:w="1413" w:type="dxa"/>
            <w:vAlign w:val="center"/>
          </w:tcPr>
          <w:p w:rsidR="005C67AE" w:rsidRPr="005C67AE" w:rsidRDefault="005C67AE" w:rsidP="001629D2">
            <w:pPr>
              <w:snapToGrid w:val="0"/>
              <w:spacing w:after="0" w:line="240" w:lineRule="auto"/>
              <w:jc w:val="center"/>
              <w:rPr>
                <w:rFonts w:ascii="Times New Roman" w:eastAsia="Times New Roman" w:hAnsi="Times New Roman" w:cs="Times New Roman"/>
                <w:b/>
                <w:bCs/>
                <w:sz w:val="20"/>
                <w:szCs w:val="20"/>
                <w:lang w:eastAsia="pt-BR"/>
              </w:rPr>
            </w:pPr>
            <w:r w:rsidRPr="005C67AE">
              <w:rPr>
                <w:rFonts w:ascii="Times New Roman" w:eastAsia="Times New Roman" w:hAnsi="Times New Roman" w:cs="Times New Roman"/>
                <w:b/>
                <w:bCs/>
                <w:sz w:val="20"/>
                <w:szCs w:val="20"/>
                <w:lang w:eastAsia="pt-BR"/>
              </w:rPr>
              <w:t>Categorias</w:t>
            </w:r>
          </w:p>
        </w:tc>
        <w:tc>
          <w:tcPr>
            <w:tcW w:w="7796" w:type="dxa"/>
            <w:vAlign w:val="center"/>
          </w:tcPr>
          <w:p w:rsidR="005C67AE" w:rsidRPr="005C67AE" w:rsidRDefault="005C67AE" w:rsidP="001629D2">
            <w:pPr>
              <w:snapToGrid w:val="0"/>
              <w:spacing w:after="0" w:line="240" w:lineRule="auto"/>
              <w:jc w:val="center"/>
              <w:rPr>
                <w:rFonts w:ascii="Times New Roman" w:eastAsia="Times New Roman" w:hAnsi="Times New Roman" w:cs="Times New Roman"/>
                <w:b/>
                <w:bCs/>
                <w:sz w:val="20"/>
                <w:szCs w:val="20"/>
                <w:lang w:eastAsia="pt-BR"/>
              </w:rPr>
            </w:pPr>
            <w:r w:rsidRPr="005C67AE">
              <w:rPr>
                <w:rFonts w:ascii="Times New Roman" w:eastAsia="Times New Roman" w:hAnsi="Times New Roman" w:cs="Times New Roman"/>
                <w:b/>
                <w:bCs/>
                <w:sz w:val="20"/>
                <w:szCs w:val="20"/>
                <w:lang w:eastAsia="pt-BR"/>
              </w:rPr>
              <w:t>Variáveis</w:t>
            </w:r>
          </w:p>
        </w:tc>
      </w:tr>
      <w:tr w:rsidR="005C67AE" w:rsidRPr="005C67AE" w:rsidTr="005C67AE">
        <w:trPr>
          <w:cantSplit/>
          <w:trHeight w:val="20"/>
        </w:trPr>
        <w:tc>
          <w:tcPr>
            <w:tcW w:w="1413" w:type="dxa"/>
            <w:vAlign w:val="center"/>
          </w:tcPr>
          <w:p w:rsidR="005C67AE" w:rsidRPr="005C67AE" w:rsidRDefault="005C67AE" w:rsidP="001629D2">
            <w:pPr>
              <w:spacing w:after="0" w:line="240" w:lineRule="auto"/>
              <w:jc w:val="center"/>
              <w:rPr>
                <w:rFonts w:ascii="Times New Roman" w:eastAsia="Times New Roman" w:hAnsi="Times New Roman" w:cs="Times New Roman"/>
                <w:sz w:val="20"/>
                <w:szCs w:val="20"/>
                <w:shd w:val="clear" w:color="auto" w:fill="FFFFFF"/>
              </w:rPr>
            </w:pPr>
            <w:r w:rsidRPr="005C67AE">
              <w:rPr>
                <w:rFonts w:ascii="Times New Roman" w:hAnsi="Times New Roman" w:cs="Times New Roman"/>
                <w:sz w:val="20"/>
                <w:szCs w:val="20"/>
              </w:rPr>
              <w:t>Caracterização da Organização</w:t>
            </w:r>
          </w:p>
        </w:tc>
        <w:tc>
          <w:tcPr>
            <w:tcW w:w="7796" w:type="dxa"/>
            <w:vAlign w:val="center"/>
          </w:tcPr>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Setor da empresa</w:t>
            </w:r>
          </w:p>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Empregados</w:t>
            </w:r>
          </w:p>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Origem de capital</w:t>
            </w:r>
          </w:p>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Tipo de estabelecimento</w:t>
            </w:r>
          </w:p>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Vinculação a entidades representativas (Fumsoft, Assespro-MG, Sindinfor, Sucesu Minas ou outra)</w:t>
            </w:r>
          </w:p>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Principal mercado e/ou região de atuação</w:t>
            </w:r>
          </w:p>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Principal setor comprador dos produtos/serviços da empresa</w:t>
            </w:r>
          </w:p>
        </w:tc>
      </w:tr>
      <w:tr w:rsidR="005C67AE" w:rsidRPr="005C67AE" w:rsidTr="001629D2">
        <w:trPr>
          <w:cantSplit/>
          <w:trHeight w:val="20"/>
        </w:trPr>
        <w:tc>
          <w:tcPr>
            <w:tcW w:w="1413" w:type="dxa"/>
            <w:vAlign w:val="center"/>
          </w:tcPr>
          <w:p w:rsidR="005C67AE" w:rsidRPr="005C67AE" w:rsidRDefault="005C67AE" w:rsidP="001629D2">
            <w:pPr>
              <w:spacing w:after="0" w:line="240" w:lineRule="auto"/>
              <w:jc w:val="center"/>
              <w:rPr>
                <w:rFonts w:ascii="Times New Roman" w:hAnsi="Times New Roman" w:cs="Times New Roman"/>
                <w:sz w:val="20"/>
                <w:szCs w:val="20"/>
              </w:rPr>
            </w:pPr>
            <w:r w:rsidRPr="005C67AE">
              <w:rPr>
                <w:rFonts w:ascii="Times New Roman" w:hAnsi="Times New Roman" w:cs="Times New Roman"/>
                <w:sz w:val="20"/>
                <w:szCs w:val="20"/>
              </w:rPr>
              <w:t>Resultados da Inovação</w:t>
            </w:r>
          </w:p>
        </w:tc>
        <w:tc>
          <w:tcPr>
            <w:tcW w:w="7796" w:type="dxa"/>
            <w:vAlign w:val="center"/>
          </w:tcPr>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Inovação em produtos (bens ou serviços) introduzida por sua empresa: sem inovação, aperfeiçoamento, novo para o mercado, novo para o mundo (ref.: 2012-2014)</w:t>
            </w:r>
          </w:p>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Inovação em processos introduzida por sua empresa: sem inovação, aperfeiçoamento, novo para o mercado, novo para o mundo (ref.: 2012-2014)</w:t>
            </w:r>
          </w:p>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Inovação organizacional: novas técnicas de gestão, novos métodos de organização do trabalho, mudanças nas relações externas (ref.: 2012-2014)</w:t>
            </w:r>
          </w:p>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Satisfação em relação ao atual desempenho inovativo da empresa</w:t>
            </w:r>
          </w:p>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Tipo de inovação mais contribui para o desempenho financeiro da empresa</w:t>
            </w:r>
          </w:p>
        </w:tc>
      </w:tr>
      <w:tr w:rsidR="005C67AE" w:rsidRPr="005C67AE" w:rsidTr="005C67AE">
        <w:trPr>
          <w:cantSplit/>
          <w:trHeight w:val="20"/>
        </w:trPr>
        <w:tc>
          <w:tcPr>
            <w:tcW w:w="1413" w:type="dxa"/>
            <w:vAlign w:val="center"/>
          </w:tcPr>
          <w:p w:rsidR="005C67AE" w:rsidRPr="005C67AE" w:rsidRDefault="005C67AE" w:rsidP="001629D2">
            <w:pPr>
              <w:spacing w:after="0" w:line="240" w:lineRule="auto"/>
              <w:jc w:val="center"/>
              <w:rPr>
                <w:rFonts w:ascii="Times New Roman" w:hAnsi="Times New Roman" w:cs="Times New Roman"/>
                <w:sz w:val="20"/>
                <w:szCs w:val="20"/>
              </w:rPr>
            </w:pPr>
            <w:r w:rsidRPr="005C67AE">
              <w:rPr>
                <w:rFonts w:ascii="Times New Roman" w:hAnsi="Times New Roman" w:cs="Times New Roman"/>
                <w:sz w:val="20"/>
                <w:szCs w:val="20"/>
              </w:rPr>
              <w:lastRenderedPageBreak/>
              <w:t>Processos</w:t>
            </w:r>
          </w:p>
        </w:tc>
        <w:tc>
          <w:tcPr>
            <w:tcW w:w="7796" w:type="dxa"/>
            <w:vAlign w:val="center"/>
          </w:tcPr>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 xml:space="preserve">P&amp;D interno; contratação externa de P&amp;D; aquisição de outros conhecimentos e tecnologias externas; aquisição de software para inovar; aquisição de máquinas e equipamentos para inovar; formulação e planejamento das estratégias de inovação; implementação de novos negócios ou empresas (novos modelos de negócio, </w:t>
            </w:r>
            <w:r w:rsidRPr="005C67AE">
              <w:rPr>
                <w:rFonts w:ascii="Times New Roman" w:eastAsia="Times New Roman" w:hAnsi="Times New Roman" w:cs="Times New Roman"/>
                <w:i/>
                <w:sz w:val="20"/>
                <w:szCs w:val="20"/>
                <w:shd w:val="clear" w:color="auto" w:fill="FFFFFF"/>
              </w:rPr>
              <w:t>spin offs</w:t>
            </w:r>
            <w:r w:rsidRPr="005C67AE">
              <w:rPr>
                <w:rFonts w:ascii="Times New Roman" w:eastAsia="Times New Roman" w:hAnsi="Times New Roman" w:cs="Times New Roman"/>
                <w:sz w:val="20"/>
                <w:szCs w:val="20"/>
                <w:shd w:val="clear" w:color="auto" w:fill="FFFFFF"/>
              </w:rPr>
              <w:t>, incubação, startups); design, desenho industrial e engenharia; prototipagem, testes e avaliação; pesquisa de mercado referente à inovação; treinamento referente à inovação; atividades de produção e comercialização da inovação</w:t>
            </w:r>
          </w:p>
        </w:tc>
      </w:tr>
      <w:tr w:rsidR="0013459A" w:rsidRPr="005C67AE" w:rsidTr="001629D2">
        <w:trPr>
          <w:cantSplit/>
          <w:trHeight w:val="20"/>
        </w:trPr>
        <w:tc>
          <w:tcPr>
            <w:tcW w:w="1413" w:type="dxa"/>
            <w:vAlign w:val="center"/>
          </w:tcPr>
          <w:p w:rsidR="0013459A" w:rsidRPr="005C67AE" w:rsidRDefault="0013459A" w:rsidP="001629D2">
            <w:pPr>
              <w:spacing w:after="0" w:line="240" w:lineRule="auto"/>
              <w:jc w:val="center"/>
              <w:rPr>
                <w:rFonts w:ascii="Times New Roman" w:hAnsi="Times New Roman" w:cs="Times New Roman"/>
                <w:sz w:val="20"/>
                <w:szCs w:val="20"/>
              </w:rPr>
            </w:pPr>
            <w:r w:rsidRPr="005C67AE">
              <w:rPr>
                <w:rFonts w:ascii="Times New Roman" w:hAnsi="Times New Roman" w:cs="Times New Roman"/>
                <w:sz w:val="20"/>
                <w:szCs w:val="20"/>
              </w:rPr>
              <w:t>Estrutura e Gestão</w:t>
            </w:r>
          </w:p>
        </w:tc>
        <w:tc>
          <w:tcPr>
            <w:tcW w:w="7796" w:type="dxa"/>
            <w:vAlign w:val="center"/>
          </w:tcPr>
          <w:p w:rsidR="0013459A" w:rsidRPr="005C67AE" w:rsidRDefault="0013459A"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Constituição da área responsável pela inovação na empresa</w:t>
            </w:r>
          </w:p>
          <w:p w:rsidR="0013459A" w:rsidRPr="005C67AE" w:rsidRDefault="0013459A"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Função da área responsável pela inovação na empresa</w:t>
            </w:r>
          </w:p>
          <w:p w:rsidR="0013459A" w:rsidRPr="005C67AE" w:rsidRDefault="0013459A"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Existência de orçamento dedicado para projetos de inovação</w:t>
            </w:r>
          </w:p>
          <w:p w:rsidR="0013459A" w:rsidRPr="005C67AE" w:rsidRDefault="0013459A"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Avaliação da performance da empresa com métricas de inovação</w:t>
            </w:r>
          </w:p>
        </w:tc>
      </w:tr>
      <w:tr w:rsidR="005C67AE" w:rsidRPr="005C67AE" w:rsidTr="005C67AE">
        <w:trPr>
          <w:cantSplit/>
          <w:trHeight w:val="20"/>
        </w:trPr>
        <w:tc>
          <w:tcPr>
            <w:tcW w:w="1413" w:type="dxa"/>
            <w:vAlign w:val="center"/>
          </w:tcPr>
          <w:p w:rsidR="005C67AE" w:rsidRPr="005C67AE" w:rsidRDefault="005C67AE" w:rsidP="001629D2">
            <w:pPr>
              <w:spacing w:after="0" w:line="240" w:lineRule="auto"/>
              <w:jc w:val="center"/>
              <w:rPr>
                <w:rFonts w:ascii="Times New Roman" w:hAnsi="Times New Roman" w:cs="Times New Roman"/>
                <w:sz w:val="20"/>
                <w:szCs w:val="20"/>
              </w:rPr>
            </w:pPr>
            <w:r w:rsidRPr="005C67AE">
              <w:rPr>
                <w:rFonts w:ascii="Times New Roman" w:hAnsi="Times New Roman" w:cs="Times New Roman"/>
                <w:sz w:val="20"/>
                <w:szCs w:val="20"/>
              </w:rPr>
              <w:t>Recursos Humanos</w:t>
            </w:r>
          </w:p>
        </w:tc>
        <w:tc>
          <w:tcPr>
            <w:tcW w:w="7796" w:type="dxa"/>
            <w:vAlign w:val="center"/>
          </w:tcPr>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Quantidade de pessoas que trabalham diretamente com inovação</w:t>
            </w:r>
          </w:p>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Perfil dos profissionais que atuam com inovação: cargo, idade, sexo, estado de nascimento, tempo de residência no estado em que trabalha, maior nível de formação, área de formação, ano de conclusão</w:t>
            </w:r>
          </w:p>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Perfil do responsável pela inovação: cargo, idade, sexo, estado de nascimento, tempo de residência no estado em que trabalha, formação técnica, detalhamento da formação (nível, área, ano e estado de conclusão).</w:t>
            </w:r>
          </w:p>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Experiência profissional prévia em inovação: setor, nível do cargo, período</w:t>
            </w:r>
          </w:p>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Experiência profissional na empresa: tempo de trabalho total, tempo de trabalho com inovação, tempo de trabalho na área de inovação</w:t>
            </w:r>
          </w:p>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Avaliação de desempenho com base em métricas de inovação</w:t>
            </w:r>
          </w:p>
          <w:p w:rsidR="005C67AE" w:rsidRPr="005C67AE" w:rsidRDefault="005C67AE" w:rsidP="001629D2">
            <w:pPr>
              <w:pStyle w:val="PargrafodaLista"/>
              <w:numPr>
                <w:ilvl w:val="0"/>
                <w:numId w:val="2"/>
              </w:numPr>
              <w:spacing w:after="0" w:line="240" w:lineRule="auto"/>
              <w:rPr>
                <w:rFonts w:ascii="Times New Roman" w:eastAsia="Times New Roman" w:hAnsi="Times New Roman" w:cs="Times New Roman"/>
                <w:sz w:val="20"/>
                <w:szCs w:val="20"/>
                <w:shd w:val="clear" w:color="auto" w:fill="FFFFFF"/>
              </w:rPr>
            </w:pPr>
            <w:r w:rsidRPr="005C67AE">
              <w:rPr>
                <w:rFonts w:ascii="Times New Roman" w:eastAsia="Times New Roman" w:hAnsi="Times New Roman" w:cs="Times New Roman"/>
                <w:sz w:val="20"/>
                <w:szCs w:val="20"/>
                <w:shd w:val="clear" w:color="auto" w:fill="FFFFFF"/>
              </w:rPr>
              <w:t>Treinamento voltado à gestão da inovação</w:t>
            </w:r>
          </w:p>
        </w:tc>
      </w:tr>
    </w:tbl>
    <w:p w:rsidR="005C67AE" w:rsidRDefault="005C67AE" w:rsidP="005C67AE">
      <w:pPr>
        <w:spacing w:after="0" w:line="240" w:lineRule="auto"/>
        <w:ind w:right="-2"/>
        <w:rPr>
          <w:rFonts w:ascii="Times New Roman" w:hAnsi="Times New Roman" w:cs="Times New Roman"/>
          <w:sz w:val="20"/>
          <w:szCs w:val="20"/>
        </w:rPr>
      </w:pPr>
      <w:r w:rsidRPr="00747A8D">
        <w:rPr>
          <w:rFonts w:ascii="Times New Roman" w:hAnsi="Times New Roman" w:cs="Times New Roman"/>
          <w:sz w:val="20"/>
          <w:szCs w:val="20"/>
        </w:rPr>
        <w:t>Fonte: elaborado pelos autores.</w:t>
      </w:r>
    </w:p>
    <w:p w:rsidR="005C67AE" w:rsidRDefault="005C67AE" w:rsidP="00747A8D">
      <w:pPr>
        <w:spacing w:after="0" w:line="240" w:lineRule="auto"/>
        <w:ind w:right="-2"/>
        <w:rPr>
          <w:rFonts w:ascii="Times New Roman" w:hAnsi="Times New Roman" w:cs="Times New Roman"/>
          <w:sz w:val="24"/>
          <w:szCs w:val="24"/>
        </w:rPr>
      </w:pPr>
    </w:p>
    <w:p w:rsidR="004C2C28" w:rsidRDefault="004C2C28" w:rsidP="0096792B">
      <w:pPr>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 xml:space="preserve">A implementação do questionário foi feita por meio da ferramenta Google Forms®, com tempo médio de preenchimento do questionário em torno de 15 minutos. Os dados da pesquisa foram analisados por meio de estatísticas descritivas e </w:t>
      </w:r>
      <w:r w:rsidRPr="0096792B">
        <w:rPr>
          <w:rFonts w:ascii="Times New Roman" w:hAnsi="Times New Roman" w:cs="Times New Roman"/>
          <w:sz w:val="24"/>
          <w:szCs w:val="24"/>
          <w:shd w:val="clear" w:color="auto" w:fill="FFFFFF"/>
        </w:rPr>
        <w:t>técnicas</w:t>
      </w:r>
      <w:r w:rsidRPr="0096792B">
        <w:rPr>
          <w:rFonts w:ascii="Times New Roman" w:hAnsi="Times New Roman" w:cs="Times New Roman"/>
          <w:sz w:val="24"/>
          <w:szCs w:val="24"/>
        </w:rPr>
        <w:t xml:space="preserve"> gráficas, as quais permitiram examinar as principais características do fenômeno e sintetizar adequadamente as evidências iniciais deste estudo (HAIR </w:t>
      </w:r>
      <w:r w:rsidRPr="0096792B">
        <w:rPr>
          <w:rFonts w:ascii="Times New Roman" w:hAnsi="Times New Roman" w:cs="Times New Roman"/>
          <w:i/>
          <w:sz w:val="24"/>
          <w:szCs w:val="24"/>
        </w:rPr>
        <w:t>et al.</w:t>
      </w:r>
      <w:r w:rsidRPr="0096792B">
        <w:rPr>
          <w:rFonts w:ascii="Times New Roman" w:hAnsi="Times New Roman" w:cs="Times New Roman"/>
          <w:sz w:val="24"/>
          <w:szCs w:val="24"/>
        </w:rPr>
        <w:t>, 2009).</w:t>
      </w:r>
      <w:r w:rsidR="001122EE">
        <w:rPr>
          <w:rFonts w:ascii="Times New Roman" w:hAnsi="Times New Roman" w:cs="Times New Roman"/>
          <w:sz w:val="24"/>
          <w:szCs w:val="24"/>
        </w:rPr>
        <w:t xml:space="preserve"> A Tabela 2 apresenta as médias e correlações </w:t>
      </w:r>
      <w:r w:rsidR="00C70A51">
        <w:rPr>
          <w:rFonts w:ascii="Times New Roman" w:hAnsi="Times New Roman" w:cs="Times New Roman"/>
          <w:sz w:val="24"/>
          <w:szCs w:val="24"/>
        </w:rPr>
        <w:t xml:space="preserve">para </w:t>
      </w:r>
      <w:r w:rsidR="00494408">
        <w:rPr>
          <w:rFonts w:ascii="Times New Roman" w:hAnsi="Times New Roman" w:cs="Times New Roman"/>
          <w:sz w:val="24"/>
          <w:szCs w:val="24"/>
        </w:rPr>
        <w:t>as</w:t>
      </w:r>
      <w:r w:rsidR="001122EE">
        <w:rPr>
          <w:rFonts w:ascii="Times New Roman" w:hAnsi="Times New Roman" w:cs="Times New Roman"/>
          <w:sz w:val="24"/>
          <w:szCs w:val="24"/>
        </w:rPr>
        <w:t xml:space="preserve"> principais variáveis</w:t>
      </w:r>
      <w:r w:rsidR="00095C49">
        <w:rPr>
          <w:rFonts w:ascii="Times New Roman" w:hAnsi="Times New Roman" w:cs="Times New Roman"/>
          <w:sz w:val="24"/>
          <w:szCs w:val="24"/>
        </w:rPr>
        <w:t xml:space="preserve"> do estudo</w:t>
      </w:r>
      <w:r w:rsidR="001122EE" w:rsidRPr="0096792B">
        <w:rPr>
          <w:rFonts w:ascii="Times New Roman" w:hAnsi="Times New Roman" w:cs="Times New Roman"/>
          <w:sz w:val="24"/>
          <w:szCs w:val="24"/>
        </w:rPr>
        <w:t>.</w:t>
      </w:r>
    </w:p>
    <w:p w:rsidR="009C4693" w:rsidRDefault="009C4693" w:rsidP="009C4693">
      <w:pPr>
        <w:pStyle w:val="ListasFigurasTese"/>
        <w:spacing w:before="0" w:line="360" w:lineRule="auto"/>
        <w:ind w:left="709"/>
        <w:jc w:val="center"/>
        <w:rPr>
          <w:rFonts w:cs="Times New Roman"/>
          <w:sz w:val="24"/>
          <w:szCs w:val="24"/>
        </w:rPr>
        <w:sectPr w:rsidR="009C4693" w:rsidSect="009C4693">
          <w:type w:val="continuous"/>
          <w:pgSz w:w="11906" w:h="16838" w:code="9"/>
          <w:pgMar w:top="1418" w:right="1418" w:bottom="1418" w:left="1418" w:header="709" w:footer="709" w:gutter="0"/>
          <w:cols w:space="708"/>
          <w:docGrid w:linePitch="360"/>
        </w:sectPr>
      </w:pPr>
    </w:p>
    <w:p w:rsidR="009C4693" w:rsidRPr="00AA2ECF" w:rsidRDefault="009C4693" w:rsidP="009C4693">
      <w:pPr>
        <w:pStyle w:val="ListasFigurasTese"/>
        <w:spacing w:before="0" w:line="360" w:lineRule="auto"/>
        <w:ind w:left="709"/>
        <w:jc w:val="center"/>
        <w:rPr>
          <w:rFonts w:cs="Times New Roman"/>
          <w:b w:val="0"/>
          <w:sz w:val="24"/>
          <w:szCs w:val="24"/>
        </w:rPr>
      </w:pPr>
      <w:r w:rsidRPr="00AA2ECF">
        <w:rPr>
          <w:rFonts w:cs="Times New Roman"/>
          <w:sz w:val="24"/>
          <w:szCs w:val="24"/>
        </w:rPr>
        <w:lastRenderedPageBreak/>
        <w:t xml:space="preserve">Tabela </w:t>
      </w:r>
      <w:r>
        <w:rPr>
          <w:rFonts w:cs="Times New Roman"/>
          <w:sz w:val="24"/>
          <w:szCs w:val="24"/>
        </w:rPr>
        <w:t>2</w:t>
      </w:r>
      <w:r w:rsidRPr="00AA2ECF">
        <w:rPr>
          <w:rFonts w:cs="Times New Roman"/>
          <w:sz w:val="24"/>
          <w:szCs w:val="24"/>
        </w:rPr>
        <w:t xml:space="preserve"> </w:t>
      </w:r>
      <w:r>
        <w:rPr>
          <w:rFonts w:cs="Times New Roman"/>
          <w:b w:val="0"/>
          <w:sz w:val="24"/>
          <w:szCs w:val="24"/>
        </w:rPr>
        <w:t>-</w:t>
      </w:r>
      <w:r w:rsidRPr="00AA2ECF">
        <w:rPr>
          <w:rFonts w:cs="Times New Roman"/>
          <w:b w:val="0"/>
          <w:sz w:val="24"/>
          <w:szCs w:val="24"/>
        </w:rPr>
        <w:t xml:space="preserve"> </w:t>
      </w:r>
      <w:r>
        <w:rPr>
          <w:rFonts w:cs="Times New Roman"/>
          <w:b w:val="0"/>
          <w:sz w:val="24"/>
          <w:szCs w:val="24"/>
        </w:rPr>
        <w:t>Médias e correlações de variáveis selecionadas</w:t>
      </w:r>
    </w:p>
    <w:tbl>
      <w:tblPr>
        <w:tblW w:w="13914" w:type="dxa"/>
        <w:tblInd w:w="75" w:type="dxa"/>
        <w:tblCellMar>
          <w:left w:w="70" w:type="dxa"/>
          <w:right w:w="70" w:type="dxa"/>
        </w:tblCellMar>
        <w:tblLook w:val="04A0" w:firstRow="1" w:lastRow="0" w:firstColumn="1" w:lastColumn="0" w:noHBand="0" w:noVBand="1"/>
      </w:tblPr>
      <w:tblGrid>
        <w:gridCol w:w="3397"/>
        <w:gridCol w:w="737"/>
        <w:gridCol w:w="652"/>
        <w:gridCol w:w="652"/>
        <w:gridCol w:w="652"/>
        <w:gridCol w:w="652"/>
        <w:gridCol w:w="652"/>
        <w:gridCol w:w="652"/>
        <w:gridCol w:w="652"/>
        <w:gridCol w:w="652"/>
        <w:gridCol w:w="652"/>
        <w:gridCol w:w="652"/>
        <w:gridCol w:w="652"/>
        <w:gridCol w:w="652"/>
        <w:gridCol w:w="652"/>
        <w:gridCol w:w="652"/>
        <w:gridCol w:w="652"/>
      </w:tblGrid>
      <w:tr w:rsidR="009C4693" w:rsidRPr="00781BB4" w:rsidTr="001629D2">
        <w:trPr>
          <w:trHeight w:val="146"/>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4693" w:rsidRPr="00781BB4" w:rsidRDefault="009C4693" w:rsidP="001629D2">
            <w:pPr>
              <w:spacing w:after="0" w:line="240" w:lineRule="auto"/>
              <w:rPr>
                <w:rFonts w:ascii="Times New Roman" w:eastAsia="Times New Roman" w:hAnsi="Times New Roman" w:cs="Times New Roman"/>
                <w:b/>
                <w:color w:val="000000"/>
                <w:sz w:val="18"/>
                <w:szCs w:val="18"/>
                <w:lang w:eastAsia="pt-BR"/>
              </w:rPr>
            </w:pPr>
            <w:r w:rsidRPr="00781BB4">
              <w:rPr>
                <w:rFonts w:ascii="Times New Roman" w:eastAsia="Times New Roman" w:hAnsi="Times New Roman" w:cs="Times New Roman"/>
                <w:b/>
                <w:color w:val="000000"/>
                <w:sz w:val="18"/>
                <w:szCs w:val="18"/>
                <w:lang w:eastAsia="pt-BR"/>
              </w:rPr>
              <w:t>Variáveis</w:t>
            </w:r>
          </w:p>
        </w:tc>
        <w:tc>
          <w:tcPr>
            <w:tcW w:w="737" w:type="dxa"/>
            <w:tcBorders>
              <w:top w:val="single" w:sz="4" w:space="0" w:color="auto"/>
              <w:left w:val="nil"/>
              <w:bottom w:val="single" w:sz="4" w:space="0" w:color="auto"/>
              <w:right w:val="single" w:sz="4" w:space="0" w:color="auto"/>
            </w:tcBorders>
            <w:shd w:val="clear" w:color="auto" w:fill="auto"/>
            <w:noWrap/>
            <w:vAlign w:val="center"/>
          </w:tcPr>
          <w:p w:rsidR="009C4693" w:rsidRPr="00781BB4" w:rsidRDefault="009C4693" w:rsidP="001629D2">
            <w:pPr>
              <w:spacing w:after="0" w:line="240" w:lineRule="auto"/>
              <w:jc w:val="center"/>
              <w:rPr>
                <w:rFonts w:ascii="Times New Roman" w:eastAsia="Times New Roman" w:hAnsi="Times New Roman" w:cs="Times New Roman"/>
                <w:b/>
                <w:color w:val="000000"/>
                <w:sz w:val="18"/>
                <w:szCs w:val="18"/>
                <w:lang w:eastAsia="pt-BR"/>
              </w:rPr>
            </w:pPr>
            <w:r w:rsidRPr="00781BB4">
              <w:rPr>
                <w:rFonts w:ascii="Times New Roman" w:eastAsia="Times New Roman" w:hAnsi="Times New Roman" w:cs="Times New Roman"/>
                <w:b/>
                <w:color w:val="000000"/>
                <w:sz w:val="18"/>
                <w:szCs w:val="18"/>
                <w:lang w:eastAsia="pt-BR"/>
              </w:rPr>
              <w:t>Média</w:t>
            </w:r>
          </w:p>
        </w:tc>
        <w:tc>
          <w:tcPr>
            <w:tcW w:w="652" w:type="dxa"/>
            <w:tcBorders>
              <w:top w:val="single" w:sz="4" w:space="0" w:color="auto"/>
              <w:left w:val="nil"/>
              <w:bottom w:val="single" w:sz="4" w:space="0" w:color="auto"/>
              <w:right w:val="single" w:sz="4" w:space="0" w:color="auto"/>
            </w:tcBorders>
            <w:shd w:val="clear" w:color="auto" w:fill="auto"/>
            <w:noWrap/>
            <w:vAlign w:val="center"/>
          </w:tcPr>
          <w:p w:rsidR="009C4693" w:rsidRPr="00781BB4" w:rsidRDefault="009C4693" w:rsidP="001629D2">
            <w:pPr>
              <w:spacing w:after="0" w:line="240" w:lineRule="auto"/>
              <w:jc w:val="center"/>
              <w:rPr>
                <w:rFonts w:ascii="Times New Roman" w:eastAsia="Times New Roman" w:hAnsi="Times New Roman" w:cs="Times New Roman"/>
                <w:b/>
                <w:color w:val="000000"/>
                <w:sz w:val="18"/>
                <w:szCs w:val="18"/>
                <w:lang w:eastAsia="pt-BR"/>
              </w:rPr>
            </w:pPr>
            <w:r w:rsidRPr="00781BB4">
              <w:rPr>
                <w:rFonts w:ascii="Times New Roman" w:eastAsia="Times New Roman" w:hAnsi="Times New Roman" w:cs="Times New Roman"/>
                <w:b/>
                <w:color w:val="000000"/>
                <w:sz w:val="18"/>
                <w:szCs w:val="18"/>
                <w:lang w:eastAsia="pt-BR"/>
              </w:rPr>
              <w:t>1</w:t>
            </w:r>
          </w:p>
        </w:tc>
        <w:tc>
          <w:tcPr>
            <w:tcW w:w="652" w:type="dxa"/>
            <w:tcBorders>
              <w:top w:val="single" w:sz="4" w:space="0" w:color="auto"/>
              <w:left w:val="nil"/>
              <w:bottom w:val="single" w:sz="4" w:space="0" w:color="auto"/>
              <w:right w:val="single" w:sz="4" w:space="0" w:color="auto"/>
            </w:tcBorders>
            <w:shd w:val="clear" w:color="auto" w:fill="auto"/>
            <w:noWrap/>
            <w:vAlign w:val="center"/>
          </w:tcPr>
          <w:p w:rsidR="009C4693" w:rsidRPr="00781BB4" w:rsidRDefault="009C4693" w:rsidP="001629D2">
            <w:pPr>
              <w:spacing w:after="0" w:line="240" w:lineRule="auto"/>
              <w:jc w:val="center"/>
              <w:rPr>
                <w:rFonts w:ascii="Times New Roman" w:eastAsia="Times New Roman" w:hAnsi="Times New Roman" w:cs="Times New Roman"/>
                <w:b/>
                <w:color w:val="000000"/>
                <w:sz w:val="18"/>
                <w:szCs w:val="18"/>
                <w:lang w:eastAsia="pt-BR"/>
              </w:rPr>
            </w:pPr>
            <w:r w:rsidRPr="00781BB4">
              <w:rPr>
                <w:rFonts w:ascii="Times New Roman" w:eastAsia="Times New Roman" w:hAnsi="Times New Roman" w:cs="Times New Roman"/>
                <w:b/>
                <w:color w:val="000000"/>
                <w:sz w:val="18"/>
                <w:szCs w:val="18"/>
                <w:lang w:eastAsia="pt-BR"/>
              </w:rPr>
              <w:t>2</w:t>
            </w:r>
          </w:p>
        </w:tc>
        <w:tc>
          <w:tcPr>
            <w:tcW w:w="652" w:type="dxa"/>
            <w:tcBorders>
              <w:top w:val="single" w:sz="4" w:space="0" w:color="auto"/>
              <w:left w:val="nil"/>
              <w:bottom w:val="single" w:sz="4" w:space="0" w:color="auto"/>
              <w:right w:val="single" w:sz="4" w:space="0" w:color="auto"/>
            </w:tcBorders>
            <w:shd w:val="clear" w:color="auto" w:fill="auto"/>
            <w:noWrap/>
            <w:vAlign w:val="center"/>
          </w:tcPr>
          <w:p w:rsidR="009C4693" w:rsidRPr="00781BB4" w:rsidRDefault="009C4693" w:rsidP="001629D2">
            <w:pPr>
              <w:spacing w:after="0" w:line="240" w:lineRule="auto"/>
              <w:jc w:val="center"/>
              <w:rPr>
                <w:rFonts w:ascii="Times New Roman" w:eastAsia="Times New Roman" w:hAnsi="Times New Roman" w:cs="Times New Roman"/>
                <w:b/>
                <w:color w:val="000000"/>
                <w:sz w:val="18"/>
                <w:szCs w:val="18"/>
                <w:lang w:eastAsia="pt-BR"/>
              </w:rPr>
            </w:pPr>
            <w:r w:rsidRPr="00781BB4">
              <w:rPr>
                <w:rFonts w:ascii="Times New Roman" w:eastAsia="Times New Roman" w:hAnsi="Times New Roman" w:cs="Times New Roman"/>
                <w:b/>
                <w:color w:val="000000"/>
                <w:sz w:val="18"/>
                <w:szCs w:val="18"/>
                <w:lang w:eastAsia="pt-BR"/>
              </w:rPr>
              <w:t>3</w:t>
            </w:r>
          </w:p>
        </w:tc>
        <w:tc>
          <w:tcPr>
            <w:tcW w:w="652" w:type="dxa"/>
            <w:tcBorders>
              <w:top w:val="single" w:sz="4" w:space="0" w:color="auto"/>
              <w:left w:val="nil"/>
              <w:bottom w:val="single" w:sz="4" w:space="0" w:color="auto"/>
              <w:right w:val="single" w:sz="4" w:space="0" w:color="auto"/>
            </w:tcBorders>
            <w:shd w:val="clear" w:color="auto" w:fill="auto"/>
            <w:noWrap/>
            <w:vAlign w:val="center"/>
          </w:tcPr>
          <w:p w:rsidR="009C4693" w:rsidRPr="00781BB4" w:rsidRDefault="009C4693" w:rsidP="001629D2">
            <w:pPr>
              <w:spacing w:after="0" w:line="240" w:lineRule="auto"/>
              <w:jc w:val="center"/>
              <w:rPr>
                <w:rFonts w:ascii="Times New Roman" w:eastAsia="Times New Roman" w:hAnsi="Times New Roman" w:cs="Times New Roman"/>
                <w:b/>
                <w:color w:val="000000"/>
                <w:sz w:val="18"/>
                <w:szCs w:val="18"/>
                <w:lang w:eastAsia="pt-BR"/>
              </w:rPr>
            </w:pPr>
            <w:r w:rsidRPr="00781BB4">
              <w:rPr>
                <w:rFonts w:ascii="Times New Roman" w:eastAsia="Times New Roman" w:hAnsi="Times New Roman" w:cs="Times New Roman"/>
                <w:b/>
                <w:color w:val="000000"/>
                <w:sz w:val="18"/>
                <w:szCs w:val="18"/>
                <w:lang w:eastAsia="pt-BR"/>
              </w:rPr>
              <w:t>4</w:t>
            </w:r>
          </w:p>
        </w:tc>
        <w:tc>
          <w:tcPr>
            <w:tcW w:w="652" w:type="dxa"/>
            <w:tcBorders>
              <w:top w:val="single" w:sz="4" w:space="0" w:color="auto"/>
              <w:left w:val="nil"/>
              <w:bottom w:val="single" w:sz="4" w:space="0" w:color="auto"/>
              <w:right w:val="single" w:sz="4" w:space="0" w:color="auto"/>
            </w:tcBorders>
            <w:shd w:val="clear" w:color="auto" w:fill="auto"/>
            <w:noWrap/>
            <w:vAlign w:val="center"/>
          </w:tcPr>
          <w:p w:rsidR="009C4693" w:rsidRPr="00781BB4" w:rsidRDefault="009C4693" w:rsidP="001629D2">
            <w:pPr>
              <w:spacing w:after="0" w:line="240" w:lineRule="auto"/>
              <w:jc w:val="center"/>
              <w:rPr>
                <w:rFonts w:ascii="Times New Roman" w:eastAsia="Times New Roman" w:hAnsi="Times New Roman" w:cs="Times New Roman"/>
                <w:b/>
                <w:color w:val="000000"/>
                <w:sz w:val="18"/>
                <w:szCs w:val="18"/>
                <w:lang w:eastAsia="pt-BR"/>
              </w:rPr>
            </w:pPr>
            <w:r w:rsidRPr="00781BB4">
              <w:rPr>
                <w:rFonts w:ascii="Times New Roman" w:eastAsia="Times New Roman" w:hAnsi="Times New Roman" w:cs="Times New Roman"/>
                <w:b/>
                <w:color w:val="000000"/>
                <w:sz w:val="18"/>
                <w:szCs w:val="18"/>
                <w:lang w:eastAsia="pt-BR"/>
              </w:rPr>
              <w:t>5</w:t>
            </w:r>
          </w:p>
        </w:tc>
        <w:tc>
          <w:tcPr>
            <w:tcW w:w="652" w:type="dxa"/>
            <w:tcBorders>
              <w:top w:val="single" w:sz="4" w:space="0" w:color="auto"/>
              <w:left w:val="nil"/>
              <w:bottom w:val="single" w:sz="4" w:space="0" w:color="auto"/>
              <w:right w:val="single" w:sz="4" w:space="0" w:color="auto"/>
            </w:tcBorders>
            <w:shd w:val="clear" w:color="auto" w:fill="auto"/>
            <w:noWrap/>
            <w:vAlign w:val="center"/>
          </w:tcPr>
          <w:p w:rsidR="009C4693" w:rsidRPr="00781BB4" w:rsidRDefault="009C4693" w:rsidP="001629D2">
            <w:pPr>
              <w:spacing w:after="0" w:line="240" w:lineRule="auto"/>
              <w:jc w:val="center"/>
              <w:rPr>
                <w:rFonts w:ascii="Times New Roman" w:eastAsia="Times New Roman" w:hAnsi="Times New Roman" w:cs="Times New Roman"/>
                <w:b/>
                <w:color w:val="000000"/>
                <w:sz w:val="18"/>
                <w:szCs w:val="18"/>
                <w:lang w:eastAsia="pt-BR"/>
              </w:rPr>
            </w:pPr>
            <w:r w:rsidRPr="00781BB4">
              <w:rPr>
                <w:rFonts w:ascii="Times New Roman" w:eastAsia="Times New Roman" w:hAnsi="Times New Roman" w:cs="Times New Roman"/>
                <w:b/>
                <w:color w:val="000000"/>
                <w:sz w:val="18"/>
                <w:szCs w:val="18"/>
                <w:lang w:eastAsia="pt-BR"/>
              </w:rPr>
              <w:t>6</w:t>
            </w:r>
          </w:p>
        </w:tc>
        <w:tc>
          <w:tcPr>
            <w:tcW w:w="652" w:type="dxa"/>
            <w:tcBorders>
              <w:top w:val="single" w:sz="4" w:space="0" w:color="auto"/>
              <w:left w:val="nil"/>
              <w:bottom w:val="single" w:sz="4" w:space="0" w:color="auto"/>
              <w:right w:val="single" w:sz="4" w:space="0" w:color="auto"/>
            </w:tcBorders>
            <w:shd w:val="clear" w:color="auto" w:fill="auto"/>
            <w:noWrap/>
            <w:vAlign w:val="center"/>
          </w:tcPr>
          <w:p w:rsidR="009C4693" w:rsidRPr="00781BB4" w:rsidRDefault="009C4693" w:rsidP="001629D2">
            <w:pPr>
              <w:spacing w:after="0" w:line="240" w:lineRule="auto"/>
              <w:jc w:val="center"/>
              <w:rPr>
                <w:rFonts w:ascii="Times New Roman" w:eastAsia="Times New Roman" w:hAnsi="Times New Roman" w:cs="Times New Roman"/>
                <w:b/>
                <w:color w:val="000000"/>
                <w:sz w:val="18"/>
                <w:szCs w:val="18"/>
                <w:lang w:eastAsia="pt-BR"/>
              </w:rPr>
            </w:pPr>
            <w:r w:rsidRPr="00781BB4">
              <w:rPr>
                <w:rFonts w:ascii="Times New Roman" w:eastAsia="Times New Roman" w:hAnsi="Times New Roman" w:cs="Times New Roman"/>
                <w:b/>
                <w:color w:val="000000"/>
                <w:sz w:val="18"/>
                <w:szCs w:val="18"/>
                <w:lang w:eastAsia="pt-BR"/>
              </w:rPr>
              <w:t>7</w:t>
            </w:r>
          </w:p>
        </w:tc>
        <w:tc>
          <w:tcPr>
            <w:tcW w:w="652" w:type="dxa"/>
            <w:tcBorders>
              <w:top w:val="single" w:sz="4" w:space="0" w:color="auto"/>
              <w:left w:val="nil"/>
              <w:bottom w:val="single" w:sz="4" w:space="0" w:color="auto"/>
              <w:right w:val="single" w:sz="4" w:space="0" w:color="auto"/>
            </w:tcBorders>
            <w:shd w:val="clear" w:color="auto" w:fill="auto"/>
            <w:noWrap/>
            <w:vAlign w:val="center"/>
          </w:tcPr>
          <w:p w:rsidR="009C4693" w:rsidRPr="00781BB4" w:rsidRDefault="009C4693" w:rsidP="001629D2">
            <w:pPr>
              <w:spacing w:after="0" w:line="240" w:lineRule="auto"/>
              <w:jc w:val="center"/>
              <w:rPr>
                <w:rFonts w:ascii="Times New Roman" w:eastAsia="Times New Roman" w:hAnsi="Times New Roman" w:cs="Times New Roman"/>
                <w:b/>
                <w:color w:val="000000"/>
                <w:sz w:val="18"/>
                <w:szCs w:val="18"/>
                <w:lang w:eastAsia="pt-BR"/>
              </w:rPr>
            </w:pPr>
            <w:r w:rsidRPr="00781BB4">
              <w:rPr>
                <w:rFonts w:ascii="Times New Roman" w:eastAsia="Times New Roman" w:hAnsi="Times New Roman" w:cs="Times New Roman"/>
                <w:b/>
                <w:color w:val="000000"/>
                <w:sz w:val="18"/>
                <w:szCs w:val="18"/>
                <w:lang w:eastAsia="pt-BR"/>
              </w:rPr>
              <w:t>8</w:t>
            </w:r>
          </w:p>
        </w:tc>
        <w:tc>
          <w:tcPr>
            <w:tcW w:w="652" w:type="dxa"/>
            <w:tcBorders>
              <w:top w:val="single" w:sz="4" w:space="0" w:color="auto"/>
              <w:left w:val="nil"/>
              <w:bottom w:val="single" w:sz="4" w:space="0" w:color="auto"/>
              <w:right w:val="single" w:sz="4" w:space="0" w:color="auto"/>
            </w:tcBorders>
            <w:shd w:val="clear" w:color="auto" w:fill="auto"/>
            <w:noWrap/>
            <w:vAlign w:val="center"/>
          </w:tcPr>
          <w:p w:rsidR="009C4693" w:rsidRPr="00781BB4" w:rsidRDefault="009C4693" w:rsidP="001629D2">
            <w:pPr>
              <w:spacing w:after="0" w:line="240" w:lineRule="auto"/>
              <w:jc w:val="center"/>
              <w:rPr>
                <w:rFonts w:ascii="Times New Roman" w:eastAsia="Times New Roman" w:hAnsi="Times New Roman" w:cs="Times New Roman"/>
                <w:b/>
                <w:color w:val="000000"/>
                <w:sz w:val="18"/>
                <w:szCs w:val="18"/>
                <w:lang w:eastAsia="pt-BR"/>
              </w:rPr>
            </w:pPr>
            <w:r w:rsidRPr="00781BB4">
              <w:rPr>
                <w:rFonts w:ascii="Times New Roman" w:eastAsia="Times New Roman" w:hAnsi="Times New Roman" w:cs="Times New Roman"/>
                <w:b/>
                <w:color w:val="000000"/>
                <w:sz w:val="18"/>
                <w:szCs w:val="18"/>
                <w:lang w:eastAsia="pt-BR"/>
              </w:rPr>
              <w:t>9</w:t>
            </w:r>
          </w:p>
        </w:tc>
        <w:tc>
          <w:tcPr>
            <w:tcW w:w="652" w:type="dxa"/>
            <w:tcBorders>
              <w:top w:val="single" w:sz="4" w:space="0" w:color="auto"/>
              <w:left w:val="nil"/>
              <w:bottom w:val="single" w:sz="4" w:space="0" w:color="auto"/>
              <w:right w:val="single" w:sz="4" w:space="0" w:color="auto"/>
            </w:tcBorders>
            <w:shd w:val="clear" w:color="auto" w:fill="auto"/>
            <w:noWrap/>
            <w:vAlign w:val="center"/>
          </w:tcPr>
          <w:p w:rsidR="009C4693" w:rsidRPr="00781BB4" w:rsidRDefault="009C4693" w:rsidP="001629D2">
            <w:pPr>
              <w:spacing w:after="0" w:line="240" w:lineRule="auto"/>
              <w:jc w:val="center"/>
              <w:rPr>
                <w:rFonts w:ascii="Times New Roman" w:eastAsia="Times New Roman" w:hAnsi="Times New Roman" w:cs="Times New Roman"/>
                <w:b/>
                <w:color w:val="000000"/>
                <w:sz w:val="18"/>
                <w:szCs w:val="18"/>
                <w:lang w:eastAsia="pt-BR"/>
              </w:rPr>
            </w:pPr>
            <w:r w:rsidRPr="00781BB4">
              <w:rPr>
                <w:rFonts w:ascii="Times New Roman" w:eastAsia="Times New Roman" w:hAnsi="Times New Roman" w:cs="Times New Roman"/>
                <w:b/>
                <w:color w:val="000000"/>
                <w:sz w:val="18"/>
                <w:szCs w:val="18"/>
                <w:lang w:eastAsia="pt-BR"/>
              </w:rPr>
              <w:t>10</w:t>
            </w:r>
          </w:p>
        </w:tc>
        <w:tc>
          <w:tcPr>
            <w:tcW w:w="652" w:type="dxa"/>
            <w:tcBorders>
              <w:top w:val="single" w:sz="4" w:space="0" w:color="auto"/>
              <w:left w:val="nil"/>
              <w:bottom w:val="single" w:sz="4" w:space="0" w:color="auto"/>
              <w:right w:val="single" w:sz="4" w:space="0" w:color="auto"/>
            </w:tcBorders>
            <w:shd w:val="clear" w:color="auto" w:fill="auto"/>
            <w:noWrap/>
            <w:vAlign w:val="center"/>
          </w:tcPr>
          <w:p w:rsidR="009C4693" w:rsidRPr="00781BB4" w:rsidRDefault="009C4693" w:rsidP="001629D2">
            <w:pPr>
              <w:spacing w:after="0" w:line="240" w:lineRule="auto"/>
              <w:jc w:val="center"/>
              <w:rPr>
                <w:rFonts w:ascii="Times New Roman" w:eastAsia="Times New Roman" w:hAnsi="Times New Roman" w:cs="Times New Roman"/>
                <w:b/>
                <w:color w:val="000000"/>
                <w:sz w:val="18"/>
                <w:szCs w:val="18"/>
                <w:lang w:eastAsia="pt-BR"/>
              </w:rPr>
            </w:pPr>
            <w:r w:rsidRPr="00781BB4">
              <w:rPr>
                <w:rFonts w:ascii="Times New Roman" w:eastAsia="Times New Roman" w:hAnsi="Times New Roman" w:cs="Times New Roman"/>
                <w:b/>
                <w:color w:val="000000"/>
                <w:sz w:val="18"/>
                <w:szCs w:val="18"/>
                <w:lang w:eastAsia="pt-BR"/>
              </w:rPr>
              <w:t>11</w:t>
            </w:r>
          </w:p>
        </w:tc>
        <w:tc>
          <w:tcPr>
            <w:tcW w:w="652" w:type="dxa"/>
            <w:tcBorders>
              <w:top w:val="single" w:sz="4" w:space="0" w:color="auto"/>
              <w:left w:val="nil"/>
              <w:bottom w:val="single" w:sz="4" w:space="0" w:color="auto"/>
              <w:right w:val="single" w:sz="4" w:space="0" w:color="auto"/>
            </w:tcBorders>
            <w:shd w:val="clear" w:color="auto" w:fill="auto"/>
            <w:noWrap/>
            <w:vAlign w:val="center"/>
          </w:tcPr>
          <w:p w:rsidR="009C4693" w:rsidRPr="00781BB4" w:rsidRDefault="009C4693" w:rsidP="001629D2">
            <w:pPr>
              <w:spacing w:after="0" w:line="240" w:lineRule="auto"/>
              <w:jc w:val="center"/>
              <w:rPr>
                <w:rFonts w:ascii="Times New Roman" w:eastAsia="Times New Roman" w:hAnsi="Times New Roman" w:cs="Times New Roman"/>
                <w:b/>
                <w:color w:val="000000"/>
                <w:sz w:val="18"/>
                <w:szCs w:val="18"/>
                <w:lang w:eastAsia="pt-BR"/>
              </w:rPr>
            </w:pPr>
            <w:r w:rsidRPr="00781BB4">
              <w:rPr>
                <w:rFonts w:ascii="Times New Roman" w:eastAsia="Times New Roman" w:hAnsi="Times New Roman" w:cs="Times New Roman"/>
                <w:b/>
                <w:color w:val="000000"/>
                <w:sz w:val="18"/>
                <w:szCs w:val="18"/>
                <w:lang w:eastAsia="pt-BR"/>
              </w:rPr>
              <w:t>12</w:t>
            </w:r>
          </w:p>
        </w:tc>
        <w:tc>
          <w:tcPr>
            <w:tcW w:w="652" w:type="dxa"/>
            <w:tcBorders>
              <w:top w:val="single" w:sz="4" w:space="0" w:color="auto"/>
              <w:left w:val="nil"/>
              <w:bottom w:val="single" w:sz="4" w:space="0" w:color="auto"/>
              <w:right w:val="single" w:sz="4" w:space="0" w:color="auto"/>
            </w:tcBorders>
            <w:shd w:val="clear" w:color="auto" w:fill="auto"/>
            <w:noWrap/>
            <w:vAlign w:val="center"/>
          </w:tcPr>
          <w:p w:rsidR="009C4693" w:rsidRPr="00781BB4" w:rsidRDefault="009C4693" w:rsidP="001629D2">
            <w:pPr>
              <w:spacing w:after="0" w:line="240" w:lineRule="auto"/>
              <w:jc w:val="center"/>
              <w:rPr>
                <w:rFonts w:ascii="Times New Roman" w:eastAsia="Times New Roman" w:hAnsi="Times New Roman" w:cs="Times New Roman"/>
                <w:b/>
                <w:color w:val="000000"/>
                <w:sz w:val="18"/>
                <w:szCs w:val="18"/>
                <w:lang w:eastAsia="pt-BR"/>
              </w:rPr>
            </w:pPr>
            <w:r w:rsidRPr="00781BB4">
              <w:rPr>
                <w:rFonts w:ascii="Times New Roman" w:eastAsia="Times New Roman" w:hAnsi="Times New Roman" w:cs="Times New Roman"/>
                <w:b/>
                <w:color w:val="000000"/>
                <w:sz w:val="18"/>
                <w:szCs w:val="18"/>
                <w:lang w:eastAsia="pt-BR"/>
              </w:rPr>
              <w:t>13</w:t>
            </w:r>
          </w:p>
        </w:tc>
        <w:tc>
          <w:tcPr>
            <w:tcW w:w="652" w:type="dxa"/>
            <w:tcBorders>
              <w:top w:val="single" w:sz="4" w:space="0" w:color="auto"/>
              <w:left w:val="nil"/>
              <w:bottom w:val="single" w:sz="4" w:space="0" w:color="auto"/>
              <w:right w:val="single" w:sz="4" w:space="0" w:color="auto"/>
            </w:tcBorders>
            <w:shd w:val="clear" w:color="auto" w:fill="auto"/>
            <w:noWrap/>
            <w:vAlign w:val="center"/>
          </w:tcPr>
          <w:p w:rsidR="009C4693" w:rsidRPr="00781BB4" w:rsidRDefault="009C4693" w:rsidP="001629D2">
            <w:pPr>
              <w:spacing w:after="0" w:line="240" w:lineRule="auto"/>
              <w:jc w:val="center"/>
              <w:rPr>
                <w:rFonts w:ascii="Times New Roman" w:eastAsia="Times New Roman" w:hAnsi="Times New Roman" w:cs="Times New Roman"/>
                <w:b/>
                <w:color w:val="000000"/>
                <w:sz w:val="18"/>
                <w:szCs w:val="18"/>
                <w:lang w:eastAsia="pt-BR"/>
              </w:rPr>
            </w:pPr>
            <w:r w:rsidRPr="00781BB4">
              <w:rPr>
                <w:rFonts w:ascii="Times New Roman" w:eastAsia="Times New Roman" w:hAnsi="Times New Roman" w:cs="Times New Roman"/>
                <w:b/>
                <w:color w:val="000000"/>
                <w:sz w:val="18"/>
                <w:szCs w:val="18"/>
                <w:lang w:eastAsia="pt-BR"/>
              </w:rPr>
              <w:t>14</w:t>
            </w:r>
          </w:p>
        </w:tc>
        <w:tc>
          <w:tcPr>
            <w:tcW w:w="652" w:type="dxa"/>
            <w:tcBorders>
              <w:top w:val="single" w:sz="4" w:space="0" w:color="auto"/>
              <w:left w:val="nil"/>
              <w:bottom w:val="single" w:sz="4" w:space="0" w:color="auto"/>
              <w:right w:val="single" w:sz="4" w:space="0" w:color="auto"/>
            </w:tcBorders>
            <w:shd w:val="clear" w:color="auto" w:fill="auto"/>
            <w:noWrap/>
            <w:vAlign w:val="center"/>
            <w:hideMark/>
          </w:tcPr>
          <w:p w:rsidR="009C4693" w:rsidRPr="00781BB4" w:rsidRDefault="009C4693" w:rsidP="001629D2">
            <w:pPr>
              <w:spacing w:after="0" w:line="240" w:lineRule="auto"/>
              <w:jc w:val="center"/>
              <w:rPr>
                <w:rFonts w:ascii="Times New Roman" w:eastAsia="Times New Roman" w:hAnsi="Times New Roman" w:cs="Times New Roman"/>
                <w:b/>
                <w:color w:val="000000"/>
                <w:sz w:val="18"/>
                <w:szCs w:val="18"/>
                <w:lang w:eastAsia="pt-BR"/>
              </w:rPr>
            </w:pPr>
            <w:r w:rsidRPr="00781BB4">
              <w:rPr>
                <w:rFonts w:ascii="Times New Roman" w:eastAsia="Times New Roman" w:hAnsi="Times New Roman" w:cs="Times New Roman"/>
                <w:b/>
                <w:color w:val="000000"/>
                <w:sz w:val="18"/>
                <w:szCs w:val="18"/>
                <w:lang w:eastAsia="pt-BR"/>
              </w:rPr>
              <w:t>15</w:t>
            </w:r>
          </w:p>
        </w:tc>
      </w:tr>
      <w:tr w:rsidR="009C4693" w:rsidRPr="003212A6" w:rsidTr="001629D2">
        <w:trPr>
          <w:trHeight w:val="414"/>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9C4693" w:rsidRPr="003212A6" w:rsidRDefault="009C4693" w:rsidP="001629D2">
            <w:pPr>
              <w:spacing w:after="0" w:line="240" w:lineRule="auto"/>
              <w:rPr>
                <w:rFonts w:ascii="Times New Roman" w:eastAsia="Times New Roman" w:hAnsi="Times New Roman" w:cs="Times New Roman"/>
                <w:color w:val="000000"/>
                <w:sz w:val="18"/>
                <w:szCs w:val="18"/>
                <w:lang w:eastAsia="pt-BR"/>
              </w:rPr>
            </w:pPr>
            <w:r w:rsidRPr="003212A6">
              <w:rPr>
                <w:rFonts w:ascii="Times New Roman" w:eastAsia="Times New Roman" w:hAnsi="Times New Roman" w:cs="Times New Roman"/>
                <w:color w:val="000000"/>
                <w:sz w:val="18"/>
                <w:szCs w:val="18"/>
                <w:lang w:eastAsia="pt-BR"/>
              </w:rPr>
              <w:t>1. Empregados</w:t>
            </w:r>
          </w:p>
        </w:tc>
        <w:tc>
          <w:tcPr>
            <w:tcW w:w="737"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88,36</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1,00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r>
      <w:tr w:rsidR="009C4693" w:rsidRPr="003212A6" w:rsidTr="001629D2">
        <w:trPr>
          <w:trHeight w:val="414"/>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9C4693" w:rsidRPr="003212A6" w:rsidRDefault="009C4693" w:rsidP="001629D2">
            <w:pPr>
              <w:spacing w:after="0" w:line="240" w:lineRule="auto"/>
              <w:rPr>
                <w:rFonts w:ascii="Times New Roman" w:eastAsia="Times New Roman" w:hAnsi="Times New Roman" w:cs="Times New Roman"/>
                <w:color w:val="000000"/>
                <w:sz w:val="18"/>
                <w:szCs w:val="18"/>
                <w:lang w:eastAsia="pt-BR"/>
              </w:rPr>
            </w:pPr>
            <w:r w:rsidRPr="003212A6">
              <w:rPr>
                <w:rFonts w:ascii="Times New Roman" w:eastAsia="Times New Roman" w:hAnsi="Times New Roman" w:cs="Times New Roman"/>
                <w:color w:val="000000"/>
                <w:sz w:val="18"/>
                <w:szCs w:val="18"/>
                <w:lang w:eastAsia="pt-BR"/>
              </w:rPr>
              <w:t>2. Quantidade de atividades inovativas realizadas</w:t>
            </w:r>
          </w:p>
        </w:tc>
        <w:tc>
          <w:tcPr>
            <w:tcW w:w="737"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6,52</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1,00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r>
      <w:tr w:rsidR="009C4693" w:rsidRPr="003212A6" w:rsidTr="001629D2">
        <w:trPr>
          <w:trHeight w:val="414"/>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9C4693" w:rsidRPr="003212A6" w:rsidRDefault="009C4693" w:rsidP="001629D2">
            <w:pPr>
              <w:spacing w:after="0" w:line="240" w:lineRule="auto"/>
              <w:rPr>
                <w:rFonts w:ascii="Times New Roman" w:eastAsia="Times New Roman" w:hAnsi="Times New Roman" w:cs="Times New Roman"/>
                <w:color w:val="000000"/>
                <w:sz w:val="18"/>
                <w:szCs w:val="18"/>
                <w:lang w:eastAsia="pt-BR"/>
              </w:rPr>
            </w:pPr>
            <w:r w:rsidRPr="003212A6">
              <w:rPr>
                <w:rFonts w:ascii="Times New Roman" w:eastAsia="Times New Roman" w:hAnsi="Times New Roman" w:cs="Times New Roman"/>
                <w:color w:val="000000"/>
                <w:sz w:val="18"/>
                <w:szCs w:val="18"/>
                <w:lang w:eastAsia="pt-BR"/>
              </w:rPr>
              <w:t>3. Existência de área responsável pela inovação</w:t>
            </w:r>
          </w:p>
        </w:tc>
        <w:tc>
          <w:tcPr>
            <w:tcW w:w="737"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0,48</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0,23</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0,42</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1,00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r>
      <w:tr w:rsidR="009C4693" w:rsidRPr="003212A6" w:rsidTr="001629D2">
        <w:trPr>
          <w:trHeight w:val="414"/>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9C4693" w:rsidRPr="003212A6" w:rsidRDefault="009C4693" w:rsidP="001629D2">
            <w:pPr>
              <w:spacing w:after="0" w:line="240" w:lineRule="auto"/>
              <w:rPr>
                <w:rFonts w:ascii="Times New Roman" w:eastAsia="Times New Roman" w:hAnsi="Times New Roman" w:cs="Times New Roman"/>
                <w:color w:val="000000"/>
                <w:sz w:val="18"/>
                <w:szCs w:val="18"/>
                <w:lang w:eastAsia="pt-BR"/>
              </w:rPr>
            </w:pPr>
            <w:r w:rsidRPr="003212A6">
              <w:rPr>
                <w:rFonts w:ascii="Times New Roman" w:eastAsia="Times New Roman" w:hAnsi="Times New Roman" w:cs="Times New Roman"/>
                <w:color w:val="000000"/>
                <w:sz w:val="18"/>
                <w:szCs w:val="18"/>
                <w:lang w:eastAsia="pt-BR"/>
              </w:rPr>
              <w:t>4. Existência de orçamento dedicado para projetos de inovação</w:t>
            </w:r>
          </w:p>
        </w:tc>
        <w:tc>
          <w:tcPr>
            <w:tcW w:w="737"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0,36</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-0,07</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0,55</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0,51</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1,00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r>
      <w:tr w:rsidR="009C4693" w:rsidRPr="003212A6" w:rsidTr="001629D2">
        <w:trPr>
          <w:trHeight w:val="414"/>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9C4693" w:rsidRPr="003212A6" w:rsidRDefault="009C4693" w:rsidP="001629D2">
            <w:pPr>
              <w:spacing w:after="0" w:line="240" w:lineRule="auto"/>
              <w:rPr>
                <w:rFonts w:ascii="Times New Roman" w:eastAsia="Times New Roman" w:hAnsi="Times New Roman" w:cs="Times New Roman"/>
                <w:color w:val="000000"/>
                <w:sz w:val="18"/>
                <w:szCs w:val="18"/>
                <w:lang w:eastAsia="pt-BR"/>
              </w:rPr>
            </w:pPr>
            <w:r w:rsidRPr="003212A6">
              <w:rPr>
                <w:rFonts w:ascii="Times New Roman" w:eastAsia="Times New Roman" w:hAnsi="Times New Roman" w:cs="Times New Roman"/>
                <w:color w:val="000000"/>
                <w:sz w:val="18"/>
                <w:szCs w:val="18"/>
                <w:lang w:eastAsia="pt-BR"/>
              </w:rPr>
              <w:t>5. Avaliação de performance da empresa baseada em métricas de inovação</w:t>
            </w:r>
          </w:p>
        </w:tc>
        <w:tc>
          <w:tcPr>
            <w:tcW w:w="737"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0,25</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0,34</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0,18</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0,55</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1,00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r>
      <w:tr w:rsidR="009C4693" w:rsidRPr="003212A6" w:rsidTr="001629D2">
        <w:trPr>
          <w:trHeight w:val="414"/>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9C4693" w:rsidRPr="003212A6" w:rsidRDefault="009C4693" w:rsidP="001629D2">
            <w:pPr>
              <w:spacing w:after="0" w:line="240" w:lineRule="auto"/>
              <w:rPr>
                <w:rFonts w:ascii="Times New Roman" w:eastAsia="Times New Roman" w:hAnsi="Times New Roman" w:cs="Times New Roman"/>
                <w:color w:val="000000"/>
                <w:sz w:val="18"/>
                <w:szCs w:val="18"/>
                <w:lang w:eastAsia="pt-BR"/>
              </w:rPr>
            </w:pPr>
            <w:r w:rsidRPr="003212A6">
              <w:rPr>
                <w:rFonts w:ascii="Times New Roman" w:eastAsia="Times New Roman" w:hAnsi="Times New Roman" w:cs="Times New Roman"/>
                <w:color w:val="000000"/>
                <w:sz w:val="18"/>
                <w:szCs w:val="18"/>
                <w:lang w:eastAsia="pt-BR"/>
              </w:rPr>
              <w:t>6. Quantidade de pessoas que trabalham diretamente com inovação</w:t>
            </w:r>
          </w:p>
        </w:tc>
        <w:tc>
          <w:tcPr>
            <w:tcW w:w="737"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2,55</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0,09</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0,37</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0,32</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0,32</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0,02</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1,00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r>
      <w:tr w:rsidR="009C4693" w:rsidRPr="003212A6" w:rsidTr="001629D2">
        <w:trPr>
          <w:trHeight w:val="414"/>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9C4693" w:rsidRPr="003212A6" w:rsidRDefault="009C4693" w:rsidP="001629D2">
            <w:pPr>
              <w:spacing w:after="0" w:line="240" w:lineRule="auto"/>
              <w:rPr>
                <w:rFonts w:ascii="Times New Roman" w:eastAsia="Times New Roman" w:hAnsi="Times New Roman" w:cs="Times New Roman"/>
                <w:color w:val="000000"/>
                <w:sz w:val="18"/>
                <w:szCs w:val="18"/>
                <w:lang w:eastAsia="pt-BR"/>
              </w:rPr>
            </w:pPr>
            <w:r w:rsidRPr="003212A6">
              <w:rPr>
                <w:rFonts w:ascii="Times New Roman" w:eastAsia="Times New Roman" w:hAnsi="Times New Roman" w:cs="Times New Roman"/>
                <w:color w:val="000000"/>
                <w:sz w:val="18"/>
                <w:szCs w:val="18"/>
                <w:lang w:eastAsia="pt-BR"/>
              </w:rPr>
              <w:t>7. Idade média da equipe</w:t>
            </w:r>
          </w:p>
        </w:tc>
        <w:tc>
          <w:tcPr>
            <w:tcW w:w="737"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39,90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-0,14</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-0,32</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-0,27</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-0,38</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-0,13</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-0,28</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1,00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r>
      <w:tr w:rsidR="009C4693" w:rsidRPr="003212A6" w:rsidTr="001629D2">
        <w:trPr>
          <w:trHeight w:val="414"/>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9C4693" w:rsidRPr="003212A6" w:rsidRDefault="009C4693" w:rsidP="001629D2">
            <w:pPr>
              <w:spacing w:after="0" w:line="240" w:lineRule="auto"/>
              <w:rPr>
                <w:rFonts w:ascii="Times New Roman" w:eastAsia="Times New Roman" w:hAnsi="Times New Roman" w:cs="Times New Roman"/>
                <w:color w:val="000000"/>
                <w:sz w:val="18"/>
                <w:szCs w:val="18"/>
                <w:lang w:eastAsia="pt-BR"/>
              </w:rPr>
            </w:pPr>
            <w:r w:rsidRPr="003212A6">
              <w:rPr>
                <w:rFonts w:ascii="Times New Roman" w:eastAsia="Times New Roman" w:hAnsi="Times New Roman" w:cs="Times New Roman"/>
                <w:color w:val="000000"/>
                <w:sz w:val="18"/>
                <w:szCs w:val="18"/>
                <w:lang w:eastAsia="pt-BR"/>
              </w:rPr>
              <w:t>8. Idade do responsável pela inovação</w:t>
            </w:r>
          </w:p>
        </w:tc>
        <w:tc>
          <w:tcPr>
            <w:tcW w:w="737"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42,18</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-0,13</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-0,32</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-0,09</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-0,18</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-0,13</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0,80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1,00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r>
      <w:tr w:rsidR="009C4693" w:rsidRPr="003212A6" w:rsidTr="001629D2">
        <w:trPr>
          <w:trHeight w:val="414"/>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9C4693" w:rsidRPr="003212A6" w:rsidRDefault="009C4693" w:rsidP="001629D2">
            <w:pPr>
              <w:spacing w:after="0" w:line="240" w:lineRule="auto"/>
              <w:rPr>
                <w:rFonts w:ascii="Times New Roman" w:eastAsia="Times New Roman" w:hAnsi="Times New Roman" w:cs="Times New Roman"/>
                <w:color w:val="000000"/>
                <w:sz w:val="18"/>
                <w:szCs w:val="18"/>
                <w:lang w:eastAsia="pt-BR"/>
              </w:rPr>
            </w:pPr>
            <w:r w:rsidRPr="003212A6">
              <w:rPr>
                <w:rFonts w:ascii="Times New Roman" w:eastAsia="Times New Roman" w:hAnsi="Times New Roman" w:cs="Times New Roman"/>
                <w:color w:val="000000"/>
                <w:sz w:val="18"/>
                <w:szCs w:val="18"/>
                <w:lang w:eastAsia="pt-BR"/>
              </w:rPr>
              <w:t>9. Tempo de residência em Minas Gerais do responsável pela inovação</w:t>
            </w:r>
          </w:p>
        </w:tc>
        <w:tc>
          <w:tcPr>
            <w:tcW w:w="737"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36,41</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0,02</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-0,30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-0,02</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-0,17</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-0,16</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-0,04</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0,51</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0,64</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1,00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r>
      <w:tr w:rsidR="009C4693" w:rsidRPr="003212A6" w:rsidTr="001629D2">
        <w:trPr>
          <w:trHeight w:val="414"/>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9C4693" w:rsidRPr="003212A6" w:rsidRDefault="009C4693" w:rsidP="001629D2">
            <w:pPr>
              <w:spacing w:after="0" w:line="240" w:lineRule="auto"/>
              <w:rPr>
                <w:rFonts w:ascii="Times New Roman" w:eastAsia="Times New Roman" w:hAnsi="Times New Roman" w:cs="Times New Roman"/>
                <w:color w:val="000000"/>
                <w:sz w:val="18"/>
                <w:szCs w:val="18"/>
                <w:lang w:eastAsia="pt-BR"/>
              </w:rPr>
            </w:pPr>
            <w:r w:rsidRPr="003212A6">
              <w:rPr>
                <w:rFonts w:ascii="Times New Roman" w:eastAsia="Times New Roman" w:hAnsi="Times New Roman" w:cs="Times New Roman"/>
                <w:color w:val="000000"/>
                <w:sz w:val="18"/>
                <w:szCs w:val="18"/>
                <w:lang w:eastAsia="pt-BR"/>
              </w:rPr>
              <w:t>10. Maior nível de formação do responsável pela inovação</w:t>
            </w:r>
          </w:p>
        </w:tc>
        <w:tc>
          <w:tcPr>
            <w:tcW w:w="737"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1,89</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0,23</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-0,07</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-0,13</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-0,19</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0,26</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0,06</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0,17</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1,00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r>
      <w:tr w:rsidR="009C4693" w:rsidRPr="003212A6" w:rsidTr="001629D2">
        <w:trPr>
          <w:trHeight w:val="414"/>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9C4693" w:rsidRPr="003212A6" w:rsidRDefault="009C4693" w:rsidP="001629D2">
            <w:pPr>
              <w:spacing w:after="0" w:line="240" w:lineRule="auto"/>
              <w:rPr>
                <w:rFonts w:ascii="Times New Roman" w:eastAsia="Times New Roman" w:hAnsi="Times New Roman" w:cs="Times New Roman"/>
                <w:color w:val="000000"/>
                <w:sz w:val="18"/>
                <w:szCs w:val="18"/>
                <w:lang w:eastAsia="pt-BR"/>
              </w:rPr>
            </w:pPr>
            <w:r w:rsidRPr="003212A6">
              <w:rPr>
                <w:rFonts w:ascii="Times New Roman" w:eastAsia="Times New Roman" w:hAnsi="Times New Roman" w:cs="Times New Roman"/>
                <w:color w:val="000000"/>
                <w:sz w:val="18"/>
                <w:szCs w:val="18"/>
                <w:lang w:eastAsia="pt-BR"/>
              </w:rPr>
              <w:t xml:space="preserve">11. </w:t>
            </w:r>
            <w:r>
              <w:rPr>
                <w:rFonts w:ascii="Times New Roman" w:eastAsia="Times New Roman" w:hAnsi="Times New Roman" w:cs="Times New Roman"/>
                <w:color w:val="000000"/>
                <w:sz w:val="18"/>
                <w:szCs w:val="18"/>
                <w:lang w:eastAsia="pt-BR"/>
              </w:rPr>
              <w:t>D</w:t>
            </w:r>
            <w:r w:rsidRPr="003212A6">
              <w:rPr>
                <w:rFonts w:ascii="Times New Roman" w:eastAsia="Times New Roman" w:hAnsi="Times New Roman" w:cs="Times New Roman"/>
                <w:color w:val="000000"/>
                <w:sz w:val="18"/>
                <w:szCs w:val="18"/>
                <w:lang w:eastAsia="pt-BR"/>
              </w:rPr>
              <w:t xml:space="preserve">esempenho do responsável pela inovação </w:t>
            </w:r>
            <w:r>
              <w:rPr>
                <w:rFonts w:ascii="Times New Roman" w:eastAsia="Times New Roman" w:hAnsi="Times New Roman" w:cs="Times New Roman"/>
                <w:color w:val="000000"/>
                <w:sz w:val="18"/>
                <w:szCs w:val="18"/>
                <w:lang w:eastAsia="pt-BR"/>
              </w:rPr>
              <w:t xml:space="preserve">avaliado com </w:t>
            </w:r>
            <w:r w:rsidRPr="003212A6">
              <w:rPr>
                <w:rFonts w:ascii="Times New Roman" w:eastAsia="Times New Roman" w:hAnsi="Times New Roman" w:cs="Times New Roman"/>
                <w:color w:val="000000"/>
                <w:sz w:val="18"/>
                <w:szCs w:val="18"/>
                <w:lang w:eastAsia="pt-BR"/>
              </w:rPr>
              <w:t>métricas de inovação</w:t>
            </w:r>
          </w:p>
        </w:tc>
        <w:tc>
          <w:tcPr>
            <w:tcW w:w="737"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-0,06</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0,42</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0,31</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0,55</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0,75</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0,28</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-0,08</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-0,19</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-0,14</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1,00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r>
      <w:tr w:rsidR="009C4693" w:rsidRPr="003212A6" w:rsidTr="001629D2">
        <w:trPr>
          <w:trHeight w:val="414"/>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9C4693" w:rsidRPr="003212A6" w:rsidRDefault="009C4693" w:rsidP="001629D2">
            <w:pPr>
              <w:spacing w:after="0" w:line="240" w:lineRule="auto"/>
              <w:rPr>
                <w:rFonts w:ascii="Times New Roman" w:eastAsia="Times New Roman" w:hAnsi="Times New Roman" w:cs="Times New Roman"/>
                <w:color w:val="000000"/>
                <w:sz w:val="18"/>
                <w:szCs w:val="18"/>
                <w:lang w:eastAsia="pt-BR"/>
              </w:rPr>
            </w:pPr>
            <w:r w:rsidRPr="003212A6">
              <w:rPr>
                <w:rFonts w:ascii="Times New Roman" w:eastAsia="Times New Roman" w:hAnsi="Times New Roman" w:cs="Times New Roman"/>
                <w:color w:val="000000"/>
                <w:sz w:val="18"/>
                <w:szCs w:val="18"/>
                <w:lang w:eastAsia="pt-BR"/>
              </w:rPr>
              <w:t xml:space="preserve">12. </w:t>
            </w:r>
            <w:r>
              <w:rPr>
                <w:rFonts w:ascii="Times New Roman" w:eastAsia="Times New Roman" w:hAnsi="Times New Roman" w:cs="Times New Roman"/>
                <w:color w:val="000000"/>
                <w:sz w:val="18"/>
                <w:szCs w:val="18"/>
                <w:lang w:eastAsia="pt-BR"/>
              </w:rPr>
              <w:t>T</w:t>
            </w:r>
            <w:r w:rsidRPr="003212A6">
              <w:rPr>
                <w:rFonts w:ascii="Times New Roman" w:eastAsia="Times New Roman" w:hAnsi="Times New Roman" w:cs="Times New Roman"/>
                <w:color w:val="000000"/>
                <w:sz w:val="18"/>
                <w:szCs w:val="18"/>
                <w:lang w:eastAsia="pt-BR"/>
              </w:rPr>
              <w:t xml:space="preserve">reinamento em gestão da inovação </w:t>
            </w:r>
            <w:r>
              <w:rPr>
                <w:rFonts w:ascii="Times New Roman" w:eastAsia="Times New Roman" w:hAnsi="Times New Roman" w:cs="Times New Roman"/>
                <w:color w:val="000000"/>
                <w:sz w:val="18"/>
                <w:szCs w:val="18"/>
                <w:lang w:eastAsia="pt-BR"/>
              </w:rPr>
              <w:t xml:space="preserve">realizado pelo </w:t>
            </w:r>
            <w:r w:rsidRPr="003212A6">
              <w:rPr>
                <w:rFonts w:ascii="Times New Roman" w:eastAsia="Times New Roman" w:hAnsi="Times New Roman" w:cs="Times New Roman"/>
                <w:color w:val="000000"/>
                <w:sz w:val="18"/>
                <w:szCs w:val="18"/>
                <w:lang w:eastAsia="pt-BR"/>
              </w:rPr>
              <w:t xml:space="preserve">responsável pela inovação </w:t>
            </w:r>
          </w:p>
        </w:tc>
        <w:tc>
          <w:tcPr>
            <w:tcW w:w="737"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0,55</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0,11</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0,25</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0,05</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0,12</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0,32</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0,16</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-0,38</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-0,34</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-0,37</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0,24</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1,00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r>
      <w:tr w:rsidR="009C4693" w:rsidRPr="003212A6" w:rsidTr="001629D2">
        <w:trPr>
          <w:trHeight w:val="414"/>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9C4693" w:rsidRPr="003212A6" w:rsidRDefault="009C4693" w:rsidP="001629D2">
            <w:pPr>
              <w:spacing w:after="0" w:line="240" w:lineRule="auto"/>
              <w:rPr>
                <w:rFonts w:ascii="Times New Roman" w:eastAsia="Times New Roman" w:hAnsi="Times New Roman" w:cs="Times New Roman"/>
                <w:color w:val="000000"/>
                <w:sz w:val="18"/>
                <w:szCs w:val="18"/>
                <w:lang w:eastAsia="pt-BR"/>
              </w:rPr>
            </w:pPr>
            <w:r w:rsidRPr="003212A6">
              <w:rPr>
                <w:rFonts w:ascii="Times New Roman" w:eastAsia="Times New Roman" w:hAnsi="Times New Roman" w:cs="Times New Roman"/>
                <w:color w:val="000000"/>
                <w:sz w:val="18"/>
                <w:szCs w:val="18"/>
                <w:lang w:eastAsia="pt-BR"/>
              </w:rPr>
              <w:t>13. Inovação em produtos (bens ou serviços) entre 2012 e 2014</w:t>
            </w:r>
          </w:p>
        </w:tc>
        <w:tc>
          <w:tcPr>
            <w:tcW w:w="737"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2,18</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-0,16</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0,59</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0,19</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0,46</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0,34</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0,05</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-0,36</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-0,23</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-0,05</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0,29</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1,00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r>
      <w:tr w:rsidR="009C4693" w:rsidRPr="003212A6" w:rsidTr="001629D2">
        <w:trPr>
          <w:trHeight w:val="414"/>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9C4693" w:rsidRPr="003212A6" w:rsidRDefault="009C4693" w:rsidP="001629D2">
            <w:pPr>
              <w:spacing w:after="0" w:line="240" w:lineRule="auto"/>
              <w:rPr>
                <w:rFonts w:ascii="Times New Roman" w:eastAsia="Times New Roman" w:hAnsi="Times New Roman" w:cs="Times New Roman"/>
                <w:color w:val="000000"/>
                <w:sz w:val="18"/>
                <w:szCs w:val="18"/>
                <w:lang w:eastAsia="pt-BR"/>
              </w:rPr>
            </w:pPr>
            <w:r w:rsidRPr="003212A6">
              <w:rPr>
                <w:rFonts w:ascii="Times New Roman" w:eastAsia="Times New Roman" w:hAnsi="Times New Roman" w:cs="Times New Roman"/>
                <w:color w:val="000000"/>
                <w:sz w:val="18"/>
                <w:szCs w:val="18"/>
                <w:lang w:eastAsia="pt-BR"/>
              </w:rPr>
              <w:t>14. Inovação em processos entre 2012 e 2014</w:t>
            </w:r>
          </w:p>
        </w:tc>
        <w:tc>
          <w:tcPr>
            <w:tcW w:w="737"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1,80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-0,21</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0,50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0,17</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0,30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0,15</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-0,21</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-0,11</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-0,27</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-0,05</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0,29</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-0,04</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0,69</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1,00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 </w:t>
            </w:r>
          </w:p>
        </w:tc>
      </w:tr>
      <w:tr w:rsidR="009C4693" w:rsidRPr="003212A6" w:rsidTr="001629D2">
        <w:trPr>
          <w:trHeight w:val="414"/>
        </w:trPr>
        <w:tc>
          <w:tcPr>
            <w:tcW w:w="3397" w:type="dxa"/>
            <w:tcBorders>
              <w:top w:val="nil"/>
              <w:left w:val="single" w:sz="4" w:space="0" w:color="auto"/>
              <w:bottom w:val="single" w:sz="4" w:space="0" w:color="auto"/>
              <w:right w:val="single" w:sz="4" w:space="0" w:color="auto"/>
            </w:tcBorders>
            <w:shd w:val="clear" w:color="auto" w:fill="auto"/>
            <w:vAlign w:val="center"/>
            <w:hideMark/>
          </w:tcPr>
          <w:p w:rsidR="009C4693" w:rsidRPr="003212A6" w:rsidRDefault="009C4693" w:rsidP="001629D2">
            <w:pPr>
              <w:spacing w:after="0" w:line="240" w:lineRule="auto"/>
              <w:rPr>
                <w:rFonts w:ascii="Times New Roman" w:eastAsia="Times New Roman" w:hAnsi="Times New Roman" w:cs="Times New Roman"/>
                <w:color w:val="000000"/>
                <w:sz w:val="18"/>
                <w:szCs w:val="18"/>
                <w:lang w:eastAsia="pt-BR"/>
              </w:rPr>
            </w:pPr>
            <w:r w:rsidRPr="003212A6">
              <w:rPr>
                <w:rFonts w:ascii="Times New Roman" w:eastAsia="Times New Roman" w:hAnsi="Times New Roman" w:cs="Times New Roman"/>
                <w:color w:val="000000"/>
                <w:sz w:val="18"/>
                <w:szCs w:val="18"/>
                <w:lang w:eastAsia="pt-BR"/>
              </w:rPr>
              <w:t>15. Inovação organizacional entre 2012 e 2014</w:t>
            </w:r>
          </w:p>
        </w:tc>
        <w:tc>
          <w:tcPr>
            <w:tcW w:w="737"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1,98</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0,05</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0,43</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0,19</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0,28</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0,30</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0,21</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-0,04</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-0,02</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-0,08</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0,08</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0,43</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0,45</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0,21</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0,18</w:t>
            </w:r>
          </w:p>
        </w:tc>
        <w:tc>
          <w:tcPr>
            <w:tcW w:w="652" w:type="dxa"/>
            <w:tcBorders>
              <w:top w:val="nil"/>
              <w:left w:val="nil"/>
              <w:bottom w:val="single" w:sz="4" w:space="0" w:color="auto"/>
              <w:right w:val="single" w:sz="4" w:space="0" w:color="auto"/>
            </w:tcBorders>
            <w:shd w:val="clear" w:color="auto" w:fill="auto"/>
            <w:noWrap/>
            <w:vAlign w:val="center"/>
          </w:tcPr>
          <w:p w:rsidR="009C4693" w:rsidRPr="003212A6" w:rsidRDefault="009C4693" w:rsidP="001629D2">
            <w:pPr>
              <w:spacing w:after="0" w:line="240" w:lineRule="auto"/>
              <w:jc w:val="center"/>
              <w:rPr>
                <w:rFonts w:ascii="Times New Roman" w:eastAsia="Times New Roman" w:hAnsi="Times New Roman" w:cs="Times New Roman"/>
                <w:color w:val="000000"/>
                <w:sz w:val="18"/>
                <w:szCs w:val="18"/>
                <w:lang w:eastAsia="pt-BR"/>
              </w:rPr>
            </w:pPr>
            <w:r w:rsidRPr="000B561F">
              <w:rPr>
                <w:rFonts w:ascii="Times New Roman" w:hAnsi="Times New Roman" w:cs="Times New Roman"/>
                <w:color w:val="000000"/>
                <w:sz w:val="18"/>
                <w:szCs w:val="18"/>
              </w:rPr>
              <w:t>1,00</w:t>
            </w:r>
          </w:p>
        </w:tc>
      </w:tr>
    </w:tbl>
    <w:p w:rsidR="009C4693" w:rsidRPr="000B561F" w:rsidRDefault="009C4693" w:rsidP="009C4693">
      <w:pPr>
        <w:spacing w:after="0" w:line="240" w:lineRule="auto"/>
        <w:rPr>
          <w:rFonts w:ascii="Times New Roman" w:hAnsi="Times New Roman" w:cs="Times New Roman"/>
          <w:sz w:val="20"/>
          <w:szCs w:val="18"/>
        </w:rPr>
      </w:pPr>
      <w:r w:rsidRPr="000B561F">
        <w:rPr>
          <w:rFonts w:ascii="Times New Roman" w:hAnsi="Times New Roman" w:cs="Times New Roman"/>
          <w:sz w:val="20"/>
          <w:szCs w:val="18"/>
        </w:rPr>
        <w:t>Fonte: elaborado a partir de dados da pesquisa.</w:t>
      </w:r>
    </w:p>
    <w:p w:rsidR="009C4693" w:rsidRDefault="009C4693" w:rsidP="009C4693">
      <w:pPr>
        <w:spacing w:after="0" w:line="240" w:lineRule="auto"/>
        <w:rPr>
          <w:rFonts w:ascii="Times New Roman" w:hAnsi="Times New Roman" w:cs="Times New Roman"/>
          <w:sz w:val="20"/>
          <w:szCs w:val="18"/>
        </w:rPr>
        <w:sectPr w:rsidR="009C4693" w:rsidSect="00041CB5">
          <w:pgSz w:w="16838" w:h="11906" w:orient="landscape" w:code="9"/>
          <w:pgMar w:top="1418" w:right="1418" w:bottom="1418" w:left="1418" w:header="709" w:footer="709" w:gutter="0"/>
          <w:cols w:space="708"/>
          <w:docGrid w:linePitch="360"/>
        </w:sectPr>
      </w:pPr>
      <w:r w:rsidRPr="000B561F">
        <w:rPr>
          <w:rFonts w:ascii="Times New Roman" w:hAnsi="Times New Roman" w:cs="Times New Roman"/>
          <w:sz w:val="20"/>
          <w:szCs w:val="18"/>
        </w:rPr>
        <w:t>Notas: 1) Foram consideradas variáveis métricas (ex.: idade, tempo de residência)</w:t>
      </w:r>
      <w:r>
        <w:rPr>
          <w:rFonts w:ascii="Times New Roman" w:hAnsi="Times New Roman" w:cs="Times New Roman"/>
          <w:sz w:val="20"/>
          <w:szCs w:val="18"/>
        </w:rPr>
        <w:t>,</w:t>
      </w:r>
      <w:r w:rsidRPr="000B561F">
        <w:rPr>
          <w:rFonts w:ascii="Times New Roman" w:hAnsi="Times New Roman" w:cs="Times New Roman"/>
          <w:sz w:val="20"/>
          <w:szCs w:val="18"/>
        </w:rPr>
        <w:t xml:space="preserve"> ordinais (ex.: formação, quantidade de atividades inovativas realizadas, tipos de inovação realizad</w:t>
      </w:r>
      <w:r>
        <w:rPr>
          <w:rFonts w:ascii="Times New Roman" w:hAnsi="Times New Roman" w:cs="Times New Roman"/>
          <w:sz w:val="20"/>
          <w:szCs w:val="18"/>
        </w:rPr>
        <w:t>o</w:t>
      </w:r>
      <w:r w:rsidRPr="000B561F">
        <w:rPr>
          <w:rFonts w:ascii="Times New Roman" w:hAnsi="Times New Roman" w:cs="Times New Roman"/>
          <w:sz w:val="20"/>
          <w:szCs w:val="18"/>
        </w:rPr>
        <w:t>s no período)</w:t>
      </w:r>
      <w:r>
        <w:rPr>
          <w:rFonts w:ascii="Times New Roman" w:hAnsi="Times New Roman" w:cs="Times New Roman"/>
          <w:sz w:val="20"/>
          <w:szCs w:val="18"/>
        </w:rPr>
        <w:t xml:space="preserve"> e binárias (ex.: existência de área responsável pela inovação, existência de orçamento para inovação, treinamento em gestão da inovação.</w:t>
      </w:r>
    </w:p>
    <w:bookmarkEnd w:id="3"/>
    <w:p w:rsidR="00170992" w:rsidRPr="0096792B" w:rsidRDefault="00170992" w:rsidP="0096792B">
      <w:pPr>
        <w:pStyle w:val="Ttulo1"/>
        <w:keepNext w:val="0"/>
        <w:keepLines w:val="0"/>
        <w:widowControl w:val="0"/>
        <w:spacing w:after="240" w:line="480" w:lineRule="auto"/>
        <w:rPr>
          <w:caps w:val="0"/>
          <w:lang w:val="pt-BR"/>
        </w:rPr>
      </w:pPr>
      <w:r w:rsidRPr="0096792B">
        <w:rPr>
          <w:caps w:val="0"/>
          <w:lang w:val="pt-BR"/>
        </w:rPr>
        <w:lastRenderedPageBreak/>
        <w:t>4</w:t>
      </w:r>
      <w:r w:rsidR="001B70BE" w:rsidRPr="00BB114F">
        <w:rPr>
          <w:caps w:val="0"/>
          <w:lang w:val="pt-BR"/>
        </w:rPr>
        <w:t>. Resultados e Análise</w:t>
      </w:r>
    </w:p>
    <w:p w:rsidR="00170992" w:rsidRPr="0096792B" w:rsidRDefault="00170992"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Com relação ao perfil das organizações pesquisadas, os dados da pesquisa mostram uma predominância das empresas de desenvolvimento e licenciamento de programas de computador customizáveis (55%), seguidas das empresas de Desenvolvimento de programas de computador sob encomenda e Webdesign e de Desenvolvimento e licenciamento de programas de computador não-customizáveis.</w:t>
      </w:r>
      <w:r w:rsidR="007C3A7C" w:rsidRPr="0096792B">
        <w:rPr>
          <w:rFonts w:ascii="Times New Roman" w:hAnsi="Times New Roman" w:cs="Times New Roman"/>
          <w:sz w:val="24"/>
          <w:szCs w:val="24"/>
        </w:rPr>
        <w:t xml:space="preserve"> </w:t>
      </w:r>
      <w:r w:rsidRPr="0096792B">
        <w:rPr>
          <w:rFonts w:ascii="Times New Roman" w:hAnsi="Times New Roman" w:cs="Times New Roman"/>
          <w:sz w:val="24"/>
          <w:szCs w:val="24"/>
        </w:rPr>
        <w:t>Todas as empresas pesquisadas possuem 100% capital nacional e a maioria de estabelecimentos é do tipo matriz (apenas uma empresa é filial). Dentre as empresas, 77% atua no mercado regional ou estadual e a maioria dos setores compradores (+60%) são outras empresas de serviços, com destaque para outras empresas de TI, educação e comércio varejista.</w:t>
      </w:r>
    </w:p>
    <w:p w:rsidR="00170992" w:rsidRPr="0096792B" w:rsidRDefault="00170992" w:rsidP="001C02DA">
      <w:pPr>
        <w:widowControl w:val="0"/>
        <w:spacing w:after="240" w:line="480" w:lineRule="auto"/>
        <w:ind w:firstLine="709"/>
        <w:rPr>
          <w:rFonts w:ascii="Times New Roman" w:hAnsi="Times New Roman" w:cs="Times New Roman"/>
          <w:sz w:val="24"/>
          <w:szCs w:val="24"/>
        </w:rPr>
      </w:pPr>
      <w:r w:rsidRPr="0096792B">
        <w:rPr>
          <w:rFonts w:ascii="Times New Roman" w:hAnsi="Times New Roman" w:cs="Times New Roman"/>
          <w:sz w:val="24"/>
          <w:szCs w:val="24"/>
        </w:rPr>
        <w:t xml:space="preserve">Com relação à filiação a entidades representativas, 86% das empresas é associada a alguma entidade. Em maior detalhe, 64% é filiada à Fumsoft, 59% Assespro-MG, 45% Sindinfor e 20% à Sucesu Minas. Vale destacar que uma empresa pode estar filiada a mais de uma entidade por motivos distintos, por exemplo, em função das exigências legais (caso do sindicato patronal como Sindinfor) e do mercado atendido (caso da Assespro-MG, que representa os interesses das empresas de processamento de dados). </w:t>
      </w:r>
      <w:r w:rsidR="00D06E9B">
        <w:rPr>
          <w:rFonts w:ascii="Times New Roman" w:hAnsi="Times New Roman" w:cs="Times New Roman"/>
          <w:sz w:val="24"/>
          <w:szCs w:val="24"/>
        </w:rPr>
        <w:t xml:space="preserve">Há também outros atores </w:t>
      </w:r>
      <w:r w:rsidRPr="0096792B">
        <w:rPr>
          <w:rFonts w:ascii="Times New Roman" w:hAnsi="Times New Roman" w:cs="Times New Roman"/>
          <w:sz w:val="24"/>
          <w:szCs w:val="24"/>
        </w:rPr>
        <w:t>envolvidos na governança do setor de TI em Minas Gerais, como Sebrae, Secretaria de Ciência, Tecnologia e Ensino Superior do Governo Estadual e outros (</w:t>
      </w:r>
      <w:r w:rsidR="007C3A7C" w:rsidRPr="0096792B">
        <w:rPr>
          <w:rFonts w:ascii="Times New Roman" w:hAnsi="Times New Roman" w:cs="Times New Roman"/>
          <w:sz w:val="24"/>
          <w:szCs w:val="24"/>
        </w:rPr>
        <w:t>SILVA</w:t>
      </w:r>
      <w:r w:rsidR="007C3A7C" w:rsidRPr="0096792B">
        <w:rPr>
          <w:rFonts w:ascii="Times New Roman" w:hAnsi="Times New Roman" w:cs="Times New Roman"/>
          <w:i/>
          <w:sz w:val="24"/>
          <w:szCs w:val="24"/>
        </w:rPr>
        <w:t xml:space="preserve"> </w:t>
      </w:r>
      <w:r w:rsidRPr="0096792B">
        <w:rPr>
          <w:rFonts w:ascii="Times New Roman" w:hAnsi="Times New Roman" w:cs="Times New Roman"/>
          <w:i/>
          <w:sz w:val="24"/>
          <w:szCs w:val="24"/>
        </w:rPr>
        <w:t>et al.</w:t>
      </w:r>
      <w:r w:rsidRPr="0096792B">
        <w:rPr>
          <w:rFonts w:ascii="Times New Roman" w:hAnsi="Times New Roman" w:cs="Times New Roman"/>
          <w:sz w:val="24"/>
          <w:szCs w:val="24"/>
        </w:rPr>
        <w:t>, 2015).</w:t>
      </w:r>
    </w:p>
    <w:p w:rsidR="00170992" w:rsidRPr="0096792B" w:rsidRDefault="00170992" w:rsidP="0096792B">
      <w:pPr>
        <w:widowControl w:val="0"/>
        <w:spacing w:after="240" w:line="480" w:lineRule="auto"/>
        <w:rPr>
          <w:rFonts w:ascii="Times New Roman" w:hAnsi="Times New Roman" w:cs="Times New Roman"/>
          <w:i/>
          <w:sz w:val="24"/>
          <w:szCs w:val="24"/>
        </w:rPr>
      </w:pPr>
      <w:r w:rsidRPr="0096792B">
        <w:rPr>
          <w:rFonts w:ascii="Times New Roman" w:hAnsi="Times New Roman" w:cs="Times New Roman"/>
          <w:i/>
          <w:sz w:val="24"/>
          <w:szCs w:val="24"/>
        </w:rPr>
        <w:t>4.1. A Inovação nas empresas de TI de Minas Gerais</w:t>
      </w:r>
    </w:p>
    <w:p w:rsidR="00170992" w:rsidRPr="0096792B" w:rsidRDefault="00170992"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 xml:space="preserve">Os principais resultados da inovação nas empresas pesquisadas são apresentados </w:t>
      </w:r>
      <w:r w:rsidR="00D06E9B">
        <w:rPr>
          <w:rFonts w:ascii="Times New Roman" w:hAnsi="Times New Roman" w:cs="Times New Roman"/>
          <w:sz w:val="24"/>
          <w:szCs w:val="24"/>
        </w:rPr>
        <w:t>nos gráficos 1, 2 e 3</w:t>
      </w:r>
      <w:r w:rsidRPr="0096792B">
        <w:rPr>
          <w:rFonts w:ascii="Times New Roman" w:hAnsi="Times New Roman" w:cs="Times New Roman"/>
          <w:sz w:val="24"/>
          <w:szCs w:val="24"/>
        </w:rPr>
        <w:t xml:space="preserve">. </w:t>
      </w:r>
      <w:r w:rsidR="00482A20">
        <w:rPr>
          <w:rFonts w:ascii="Times New Roman" w:hAnsi="Times New Roman" w:cs="Times New Roman"/>
          <w:sz w:val="24"/>
          <w:szCs w:val="24"/>
        </w:rPr>
        <w:t>O Gráfico 1</w:t>
      </w:r>
      <w:r w:rsidRPr="0096792B">
        <w:rPr>
          <w:rFonts w:ascii="Times New Roman" w:hAnsi="Times New Roman" w:cs="Times New Roman"/>
          <w:sz w:val="24"/>
          <w:szCs w:val="24"/>
        </w:rPr>
        <w:t xml:space="preserve"> mostra que o foco maior é na inovação em produto (bem ou </w:t>
      </w:r>
      <w:r w:rsidRPr="0096792B">
        <w:rPr>
          <w:rFonts w:ascii="Times New Roman" w:hAnsi="Times New Roman" w:cs="Times New Roman"/>
          <w:sz w:val="24"/>
          <w:szCs w:val="24"/>
        </w:rPr>
        <w:lastRenderedPageBreak/>
        <w:t xml:space="preserve">serviço), com 95% das empresas implementando esse tipo de inovação. Destaca-se que quase a metade das empresas implementaram algo novo para o mercado ou para o mundo. </w:t>
      </w:r>
    </w:p>
    <w:p w:rsidR="001A0D8E" w:rsidRPr="0096792B" w:rsidRDefault="001A0D8E" w:rsidP="00DD1F00">
      <w:pPr>
        <w:pStyle w:val="ListasFigurasTese"/>
        <w:spacing w:before="0" w:after="240"/>
        <w:ind w:left="1078" w:hanging="1078"/>
        <w:jc w:val="center"/>
        <w:rPr>
          <w:rFonts w:cs="Times New Roman"/>
          <w:sz w:val="24"/>
          <w:szCs w:val="24"/>
        </w:rPr>
      </w:pPr>
      <w:r>
        <w:rPr>
          <w:rFonts w:cs="Times New Roman"/>
          <w:sz w:val="24"/>
          <w:szCs w:val="24"/>
        </w:rPr>
        <w:t>Gráfico 1</w:t>
      </w:r>
      <w:r w:rsidRPr="0096792B">
        <w:rPr>
          <w:rFonts w:cs="Times New Roman"/>
          <w:sz w:val="24"/>
          <w:szCs w:val="24"/>
        </w:rPr>
        <w:t xml:space="preserve"> </w:t>
      </w:r>
      <w:r w:rsidRPr="0096792B">
        <w:rPr>
          <w:rFonts w:cs="Times New Roman"/>
          <w:b w:val="0"/>
          <w:sz w:val="24"/>
          <w:szCs w:val="24"/>
        </w:rPr>
        <w:t>- Inovação em produto (2012-2014)</w:t>
      </w:r>
    </w:p>
    <w:p w:rsidR="001A0D8E" w:rsidRPr="0096792B" w:rsidRDefault="001A0D8E" w:rsidP="00DD1F00">
      <w:pPr>
        <w:spacing w:after="240" w:line="240" w:lineRule="auto"/>
        <w:jc w:val="center"/>
        <w:rPr>
          <w:rFonts w:ascii="Times New Roman" w:hAnsi="Times New Roman" w:cs="Times New Roman"/>
          <w:sz w:val="24"/>
          <w:szCs w:val="24"/>
        </w:rPr>
      </w:pPr>
      <w:r w:rsidRPr="0096792B">
        <w:rPr>
          <w:rFonts w:ascii="Times New Roman" w:hAnsi="Times New Roman" w:cs="Times New Roman"/>
          <w:noProof/>
          <w:sz w:val="24"/>
          <w:szCs w:val="24"/>
          <w:lang w:eastAsia="pt-BR"/>
        </w:rPr>
        <w:drawing>
          <wp:inline distT="0" distB="0" distL="0" distR="0" wp14:anchorId="0A11A7BA" wp14:editId="625C45FD">
            <wp:extent cx="5273675" cy="2934586"/>
            <wp:effectExtent l="0" t="0" r="3175" b="0"/>
            <wp:docPr id="4"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A0D8E" w:rsidRPr="001A0D8E" w:rsidRDefault="001A0D8E" w:rsidP="00DD1F00">
      <w:pPr>
        <w:spacing w:after="240" w:line="240" w:lineRule="auto"/>
        <w:jc w:val="center"/>
        <w:rPr>
          <w:rFonts w:ascii="Times New Roman" w:hAnsi="Times New Roman" w:cs="Times New Roman"/>
          <w:sz w:val="20"/>
          <w:szCs w:val="20"/>
        </w:rPr>
      </w:pPr>
      <w:r w:rsidRPr="001A0D8E">
        <w:rPr>
          <w:rFonts w:ascii="Times New Roman" w:hAnsi="Times New Roman" w:cs="Times New Roman"/>
          <w:sz w:val="20"/>
          <w:szCs w:val="20"/>
        </w:rPr>
        <w:t>Fonte: elaborado a partir de dados da pesquisa.</w:t>
      </w:r>
    </w:p>
    <w:p w:rsidR="00BB114F" w:rsidRPr="0096792B" w:rsidRDefault="00170992"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 xml:space="preserve">Com relação à inovação em processos, </w:t>
      </w:r>
      <w:r w:rsidR="00482A20">
        <w:rPr>
          <w:rFonts w:ascii="Times New Roman" w:hAnsi="Times New Roman" w:cs="Times New Roman"/>
          <w:sz w:val="24"/>
          <w:szCs w:val="24"/>
        </w:rPr>
        <w:t>o Gráfico 2</w:t>
      </w:r>
      <w:r w:rsidRPr="0096792B">
        <w:rPr>
          <w:rFonts w:ascii="Times New Roman" w:hAnsi="Times New Roman" w:cs="Times New Roman"/>
          <w:sz w:val="24"/>
          <w:szCs w:val="24"/>
        </w:rPr>
        <w:t xml:space="preserve"> mostra que a proporção de empresas inovadoras cai um pouco, em comparação à inovação em produto, mas ainda é bastante</w:t>
      </w:r>
      <w:r w:rsidR="00AD65EE" w:rsidRPr="0096792B">
        <w:rPr>
          <w:rFonts w:ascii="Times New Roman" w:hAnsi="Times New Roman" w:cs="Times New Roman"/>
          <w:sz w:val="24"/>
          <w:szCs w:val="24"/>
        </w:rPr>
        <w:t xml:space="preserve"> elevada</w:t>
      </w:r>
      <w:r w:rsidRPr="0096792B">
        <w:rPr>
          <w:rFonts w:ascii="Times New Roman" w:hAnsi="Times New Roman" w:cs="Times New Roman"/>
          <w:sz w:val="24"/>
          <w:szCs w:val="24"/>
        </w:rPr>
        <w:t>. A pesquisa identificou, ainda, que 39 das 44 empresas (89%) realizaram simultaneamente inovação em produto e processo, considerando o período analisado (2012-2014).</w:t>
      </w:r>
    </w:p>
    <w:p w:rsidR="00DD1F00" w:rsidRPr="0096792B" w:rsidRDefault="00DD1F00" w:rsidP="00DD1F00">
      <w:pPr>
        <w:pStyle w:val="ListasFigurasTese"/>
        <w:spacing w:before="0" w:after="240"/>
        <w:jc w:val="center"/>
        <w:rPr>
          <w:rFonts w:cs="Times New Roman"/>
          <w:sz w:val="24"/>
          <w:szCs w:val="24"/>
        </w:rPr>
      </w:pPr>
      <w:r>
        <w:rPr>
          <w:rFonts w:cs="Times New Roman"/>
          <w:sz w:val="24"/>
          <w:szCs w:val="24"/>
        </w:rPr>
        <w:lastRenderedPageBreak/>
        <w:t>Gráfico 2</w:t>
      </w:r>
      <w:r w:rsidRPr="0096792B">
        <w:rPr>
          <w:rFonts w:cs="Times New Roman"/>
          <w:sz w:val="24"/>
          <w:szCs w:val="24"/>
        </w:rPr>
        <w:t xml:space="preserve"> </w:t>
      </w:r>
      <w:r w:rsidRPr="0096792B">
        <w:rPr>
          <w:rFonts w:cs="Times New Roman"/>
          <w:b w:val="0"/>
          <w:sz w:val="24"/>
          <w:szCs w:val="24"/>
        </w:rPr>
        <w:t>- Inovação em processo (2012-2014)</w:t>
      </w:r>
    </w:p>
    <w:p w:rsidR="00DD1F00" w:rsidRPr="0096792B" w:rsidRDefault="00DD1F00" w:rsidP="00DD1F00">
      <w:pPr>
        <w:spacing w:after="240" w:line="240" w:lineRule="auto"/>
        <w:jc w:val="center"/>
        <w:rPr>
          <w:rFonts w:ascii="Times New Roman" w:hAnsi="Times New Roman" w:cs="Times New Roman"/>
          <w:sz w:val="24"/>
          <w:szCs w:val="24"/>
        </w:rPr>
      </w:pPr>
      <w:r w:rsidRPr="0096792B">
        <w:rPr>
          <w:rFonts w:ascii="Times New Roman" w:hAnsi="Times New Roman" w:cs="Times New Roman"/>
          <w:noProof/>
          <w:sz w:val="24"/>
          <w:szCs w:val="24"/>
          <w:lang w:eastAsia="pt-BR"/>
        </w:rPr>
        <w:drawing>
          <wp:inline distT="0" distB="0" distL="0" distR="0" wp14:anchorId="2228C66B" wp14:editId="1150CE3E">
            <wp:extent cx="4901609" cy="2570480"/>
            <wp:effectExtent l="0" t="0" r="0" b="1270"/>
            <wp:docPr id="5"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D1F00" w:rsidRPr="00DD1F00" w:rsidRDefault="00DD1F00" w:rsidP="00DD1F00">
      <w:pPr>
        <w:spacing w:after="240" w:line="240" w:lineRule="auto"/>
        <w:jc w:val="center"/>
        <w:rPr>
          <w:rFonts w:ascii="Times New Roman" w:hAnsi="Times New Roman" w:cs="Times New Roman"/>
          <w:sz w:val="20"/>
          <w:szCs w:val="20"/>
        </w:rPr>
      </w:pPr>
      <w:r w:rsidRPr="00DD1F00">
        <w:rPr>
          <w:rFonts w:ascii="Times New Roman" w:hAnsi="Times New Roman" w:cs="Times New Roman"/>
          <w:sz w:val="20"/>
          <w:szCs w:val="20"/>
        </w:rPr>
        <w:t>Fonte: elaborado a partir de dados da pesquisa.</w:t>
      </w:r>
    </w:p>
    <w:p w:rsidR="004C2C28" w:rsidRPr="0096792B" w:rsidRDefault="00170992" w:rsidP="00BB114F">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Quanto à inovação organizacional, os percentuais são elevados, mas relativamente menores do que a proporção de empresas inovadoras em produtos e processos. Os resultados da inovação organizacional realizada entre 2012 e 2014 são apresentados n</w:t>
      </w:r>
      <w:r w:rsidR="00482A20">
        <w:rPr>
          <w:rFonts w:ascii="Times New Roman" w:hAnsi="Times New Roman" w:cs="Times New Roman"/>
          <w:sz w:val="24"/>
          <w:szCs w:val="24"/>
        </w:rPr>
        <w:t>o Gráfico 3</w:t>
      </w:r>
      <w:r w:rsidRPr="0096792B">
        <w:rPr>
          <w:rFonts w:ascii="Times New Roman" w:hAnsi="Times New Roman" w:cs="Times New Roman"/>
          <w:sz w:val="24"/>
          <w:szCs w:val="24"/>
        </w:rPr>
        <w:t xml:space="preserve">. </w:t>
      </w:r>
      <w:r w:rsidR="004C2C28" w:rsidRPr="0096792B">
        <w:rPr>
          <w:rFonts w:ascii="Times New Roman" w:hAnsi="Times New Roman" w:cs="Times New Roman"/>
          <w:sz w:val="24"/>
          <w:szCs w:val="24"/>
        </w:rPr>
        <w:t xml:space="preserve">Esse dado vai ao encontro das colocações feitas por </w:t>
      </w:r>
      <w:r w:rsidR="004C2C28" w:rsidRPr="00BB114F">
        <w:rPr>
          <w:rFonts w:ascii="Times New Roman" w:hAnsi="Times New Roman" w:cs="Times New Roman"/>
          <w:sz w:val="24"/>
          <w:szCs w:val="24"/>
        </w:rPr>
        <w:t>Nählinder (2005), as quais afirmam a capacidade das empresas de TI em gerar mais de um tipo de inovação, simultaneamente, combinando-os. O que se percebe, contudo, é que é maior a proporção de inovações de produto e processo, quando comparada à inovação organizacional, contrariando a constatação feita por</w:t>
      </w:r>
      <w:r w:rsidR="004C2C28" w:rsidRPr="0096792B">
        <w:rPr>
          <w:rFonts w:ascii="Times New Roman" w:hAnsi="Times New Roman" w:cs="Times New Roman"/>
          <w:sz w:val="24"/>
          <w:szCs w:val="24"/>
        </w:rPr>
        <w:t xml:space="preserve"> Silva Neto</w:t>
      </w:r>
      <w:r w:rsidR="004C2C28" w:rsidRPr="00BB114F">
        <w:rPr>
          <w:rFonts w:ascii="Times New Roman" w:hAnsi="Times New Roman" w:cs="Times New Roman"/>
          <w:sz w:val="24"/>
          <w:szCs w:val="24"/>
        </w:rPr>
        <w:t xml:space="preserve"> </w:t>
      </w:r>
      <w:r w:rsidR="0048226E" w:rsidRPr="0048226E">
        <w:rPr>
          <w:rFonts w:ascii="Times New Roman" w:hAnsi="Times New Roman" w:cs="Times New Roman"/>
          <w:i/>
          <w:sz w:val="24"/>
          <w:szCs w:val="24"/>
        </w:rPr>
        <w:t>et al.</w:t>
      </w:r>
      <w:r w:rsidR="004C2C28" w:rsidRPr="0096792B">
        <w:rPr>
          <w:rFonts w:ascii="Times New Roman" w:hAnsi="Times New Roman" w:cs="Times New Roman"/>
          <w:sz w:val="24"/>
          <w:szCs w:val="24"/>
        </w:rPr>
        <w:t xml:space="preserve"> (2014) de que as atividades de inovação no setor de serviços das empresas de Minas Gerais são em sua maioria organizacionais. </w:t>
      </w:r>
    </w:p>
    <w:p w:rsidR="00096FC7" w:rsidRPr="0096792B" w:rsidRDefault="00096FC7" w:rsidP="00705620">
      <w:pPr>
        <w:pStyle w:val="ListasFigurasTese"/>
        <w:spacing w:before="0" w:after="240"/>
        <w:ind w:left="1134" w:right="1132"/>
        <w:jc w:val="center"/>
        <w:rPr>
          <w:rFonts w:cs="Times New Roman"/>
          <w:i/>
          <w:sz w:val="24"/>
          <w:szCs w:val="24"/>
        </w:rPr>
      </w:pPr>
      <w:r>
        <w:rPr>
          <w:rFonts w:cs="Times New Roman"/>
          <w:sz w:val="24"/>
          <w:szCs w:val="24"/>
        </w:rPr>
        <w:lastRenderedPageBreak/>
        <w:t>Gráfico 3</w:t>
      </w:r>
      <w:r w:rsidRPr="0096792B">
        <w:rPr>
          <w:rFonts w:cs="Times New Roman"/>
          <w:sz w:val="24"/>
          <w:szCs w:val="24"/>
        </w:rPr>
        <w:t xml:space="preserve"> -</w:t>
      </w:r>
      <w:r w:rsidRPr="0096792B">
        <w:rPr>
          <w:rFonts w:cs="Times New Roman"/>
          <w:i/>
          <w:sz w:val="24"/>
          <w:szCs w:val="24"/>
        </w:rPr>
        <w:t xml:space="preserve"> </w:t>
      </w:r>
      <w:r w:rsidRPr="0096792B">
        <w:rPr>
          <w:rFonts w:cs="Times New Roman"/>
          <w:b w:val="0"/>
          <w:sz w:val="24"/>
          <w:szCs w:val="24"/>
        </w:rPr>
        <w:t>Inovação nas técnicas de gestão, estrutura organizacional e relações externas (2012-2014)</w:t>
      </w:r>
    </w:p>
    <w:p w:rsidR="00096FC7" w:rsidRPr="003C36AA" w:rsidRDefault="00096FC7" w:rsidP="003C36AA">
      <w:pPr>
        <w:spacing w:after="240" w:line="480" w:lineRule="auto"/>
        <w:jc w:val="center"/>
        <w:rPr>
          <w:rFonts w:ascii="Times New Roman" w:hAnsi="Times New Roman" w:cs="Times New Roman"/>
          <w:sz w:val="20"/>
          <w:szCs w:val="24"/>
        </w:rPr>
      </w:pPr>
      <w:r w:rsidRPr="0096792B">
        <w:rPr>
          <w:rFonts w:ascii="Times New Roman" w:hAnsi="Times New Roman" w:cs="Times New Roman"/>
          <w:noProof/>
          <w:sz w:val="24"/>
          <w:szCs w:val="24"/>
          <w:lang w:eastAsia="pt-BR"/>
        </w:rPr>
        <w:drawing>
          <wp:inline distT="0" distB="0" distL="0" distR="0" wp14:anchorId="0440C86F" wp14:editId="4455F555">
            <wp:extent cx="5819775" cy="1333500"/>
            <wp:effectExtent l="0" t="0" r="0" b="0"/>
            <wp:docPr id="6"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3C36AA">
        <w:rPr>
          <w:rFonts w:ascii="Times New Roman" w:hAnsi="Times New Roman" w:cs="Times New Roman"/>
          <w:sz w:val="20"/>
          <w:szCs w:val="24"/>
        </w:rPr>
        <w:t>Fonte: elaborado pelos autores a partir de dados da pesquisa.</w:t>
      </w:r>
    </w:p>
    <w:p w:rsidR="00170992" w:rsidRPr="0096792B" w:rsidRDefault="00170992" w:rsidP="0096792B">
      <w:pPr>
        <w:widowControl w:val="0"/>
        <w:spacing w:after="240" w:line="480" w:lineRule="auto"/>
        <w:ind w:firstLine="708"/>
        <w:rPr>
          <w:rFonts w:ascii="Times New Roman" w:hAnsi="Times New Roman" w:cs="Times New Roman"/>
          <w:sz w:val="24"/>
          <w:szCs w:val="24"/>
          <w:shd w:val="clear" w:color="auto" w:fill="FFFFFF"/>
        </w:rPr>
      </w:pPr>
      <w:r w:rsidRPr="0096792B">
        <w:rPr>
          <w:rFonts w:ascii="Times New Roman" w:hAnsi="Times New Roman" w:cs="Times New Roman"/>
          <w:sz w:val="24"/>
          <w:szCs w:val="24"/>
        </w:rPr>
        <w:t xml:space="preserve">A inovação nas técnicas de gestão é a que mais se destaca nas empresas de TI de Minas Gerais pesquisadas (77%). Mais da metade também fez inovações nas estruturas organizacionais (66%) e nas relações externas (55%). Contudo, apenas 18 das 44 empresas (41%) realizaram simultaneamente todos os tipos de inovação organizacional analisados entre 2012 e 2014. Esse investimento em inovações nas estruturas organizacionais e nas relações externas é justificado por Bignetti (2002) ao afirmar que </w:t>
      </w:r>
      <w:r w:rsidRPr="0096792B">
        <w:rPr>
          <w:rFonts w:ascii="Times New Roman" w:hAnsi="Times New Roman" w:cs="Times New Roman"/>
          <w:sz w:val="24"/>
          <w:szCs w:val="24"/>
          <w:shd w:val="clear" w:color="auto" w:fill="FFFFFF"/>
        </w:rPr>
        <w:t>os dirigentes de empresas de TI precisam lidar e tomar decisões em contextos sob os quais não têm controle e, nesse caso, a busca por relações externas estratégicas é utilizada para diminuir riscos e incentivar novos negócios.</w:t>
      </w:r>
    </w:p>
    <w:p w:rsidR="00170992" w:rsidRPr="0096792B" w:rsidRDefault="00170992"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É interessante mencionar que, apesar das elevadas proporções de empresas realizando inovações em produtos, processos e organizacionais, 70% dos responsáveis pela inovação estão insatisfeitos com o desempenho inovativo das empresas. Ainda de acordo com os dados, 75% dos respondentes consideram que a inovação em produto é aquela que mais contribui para o desempenho do negócio, enquanto que apenas 9% e 5% o fazem para as inovações em processo e organizacionais. Apenas dois responsáveis pela inovação consideraram que as inovações não contribuem para o desempenho financeiro da empresa.</w:t>
      </w:r>
    </w:p>
    <w:p w:rsidR="00170992" w:rsidRPr="0096792B" w:rsidRDefault="00170992" w:rsidP="0096792B">
      <w:pPr>
        <w:widowControl w:val="0"/>
        <w:spacing w:after="240" w:line="480" w:lineRule="auto"/>
        <w:rPr>
          <w:rFonts w:ascii="Times New Roman" w:hAnsi="Times New Roman" w:cs="Times New Roman"/>
          <w:i/>
          <w:sz w:val="24"/>
          <w:szCs w:val="24"/>
        </w:rPr>
      </w:pPr>
      <w:r w:rsidRPr="0096792B">
        <w:rPr>
          <w:rFonts w:ascii="Times New Roman" w:hAnsi="Times New Roman" w:cs="Times New Roman"/>
          <w:i/>
          <w:sz w:val="24"/>
          <w:szCs w:val="24"/>
        </w:rPr>
        <w:lastRenderedPageBreak/>
        <w:t>4.2. Processos</w:t>
      </w:r>
    </w:p>
    <w:p w:rsidR="00894DA8" w:rsidRPr="00F3620D" w:rsidRDefault="00170992" w:rsidP="0096792B">
      <w:pPr>
        <w:widowControl w:val="0"/>
        <w:spacing w:after="240" w:line="480" w:lineRule="auto"/>
        <w:ind w:firstLine="708"/>
        <w:rPr>
          <w:rFonts w:ascii="Times New Roman" w:hAnsi="Times New Roman" w:cs="Times New Roman"/>
          <w:b/>
          <w:sz w:val="24"/>
          <w:szCs w:val="24"/>
        </w:rPr>
      </w:pPr>
      <w:r w:rsidRPr="0096792B">
        <w:rPr>
          <w:rFonts w:ascii="Times New Roman" w:hAnsi="Times New Roman" w:cs="Times New Roman"/>
          <w:sz w:val="24"/>
          <w:szCs w:val="24"/>
        </w:rPr>
        <w:t>Em relação às atividades voltadas especificamente ao desenvolvimento da inovação (atividades inovativas), os principais resultados da pesquisa são apresentados n</w:t>
      </w:r>
      <w:r w:rsidR="00482A20">
        <w:rPr>
          <w:rFonts w:ascii="Times New Roman" w:hAnsi="Times New Roman" w:cs="Times New Roman"/>
          <w:sz w:val="24"/>
          <w:szCs w:val="24"/>
        </w:rPr>
        <w:t>o Gráfico 4</w:t>
      </w:r>
      <w:r w:rsidRPr="0096792B">
        <w:rPr>
          <w:rFonts w:ascii="Times New Roman" w:hAnsi="Times New Roman" w:cs="Times New Roman"/>
          <w:sz w:val="24"/>
          <w:szCs w:val="24"/>
        </w:rPr>
        <w:t xml:space="preserve">. </w:t>
      </w:r>
      <w:r w:rsidR="00894DA8" w:rsidRPr="0096792B">
        <w:rPr>
          <w:rFonts w:ascii="Times New Roman" w:hAnsi="Times New Roman" w:cs="Times New Roman"/>
          <w:sz w:val="24"/>
          <w:szCs w:val="24"/>
        </w:rPr>
        <w:t>Como se observa, além das variáveis abordadas comumente em levantamentos como a PINTEC, foram incluídas variáveis que traduzissem de modo mais claro o processo de inovação nas empresas.</w:t>
      </w:r>
    </w:p>
    <w:p w:rsidR="00705620" w:rsidRDefault="00705620" w:rsidP="00705620">
      <w:pPr>
        <w:pStyle w:val="ListasFigurasTese"/>
        <w:spacing w:before="0" w:after="240"/>
        <w:jc w:val="center"/>
        <w:rPr>
          <w:rFonts w:cs="Times New Roman"/>
          <w:b w:val="0"/>
          <w:sz w:val="24"/>
          <w:szCs w:val="24"/>
        </w:rPr>
      </w:pPr>
      <w:r>
        <w:rPr>
          <w:rFonts w:cs="Times New Roman"/>
          <w:sz w:val="24"/>
          <w:szCs w:val="24"/>
        </w:rPr>
        <w:t>Gráfico 4 -</w:t>
      </w:r>
      <w:r w:rsidRPr="0096792B">
        <w:rPr>
          <w:rFonts w:cs="Times New Roman"/>
          <w:i/>
          <w:sz w:val="24"/>
          <w:szCs w:val="24"/>
        </w:rPr>
        <w:t xml:space="preserve"> </w:t>
      </w:r>
      <w:r w:rsidRPr="0096792B">
        <w:rPr>
          <w:rFonts w:cs="Times New Roman"/>
          <w:b w:val="0"/>
          <w:sz w:val="24"/>
          <w:szCs w:val="24"/>
        </w:rPr>
        <w:t>Atividades inovativas realizadas pelas empresas entre 2012 e 2014</w:t>
      </w:r>
    </w:p>
    <w:p w:rsidR="00705620" w:rsidRPr="0096792B" w:rsidRDefault="00705620" w:rsidP="00705620">
      <w:pPr>
        <w:jc w:val="center"/>
      </w:pPr>
      <w:r w:rsidRPr="00922F7D">
        <w:rPr>
          <w:noProof/>
          <w:lang w:eastAsia="pt-BR"/>
        </w:rPr>
        <w:drawing>
          <wp:inline distT="0" distB="0" distL="0" distR="0" wp14:anchorId="70D41A86" wp14:editId="140A792C">
            <wp:extent cx="6336532" cy="4572000"/>
            <wp:effectExtent l="0" t="0" r="7620" b="0"/>
            <wp:docPr id="10"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705620" w:rsidRPr="00705620" w:rsidRDefault="00705620" w:rsidP="00705620">
      <w:pPr>
        <w:pStyle w:val="EstiloJustificadoDepoisde12ptEspaamentoentrelinhas1"/>
        <w:spacing w:line="480" w:lineRule="auto"/>
        <w:jc w:val="center"/>
        <w:rPr>
          <w:sz w:val="20"/>
          <w:szCs w:val="24"/>
        </w:rPr>
      </w:pPr>
      <w:r w:rsidRPr="00705620">
        <w:rPr>
          <w:sz w:val="20"/>
          <w:szCs w:val="24"/>
        </w:rPr>
        <w:t>Fonte: elaborado pelos autores a partir de dados da pesquisa.</w:t>
      </w:r>
    </w:p>
    <w:p w:rsidR="00170992" w:rsidRPr="0096792B" w:rsidRDefault="00F93145" w:rsidP="0096792B">
      <w:pPr>
        <w:widowControl w:val="0"/>
        <w:spacing w:after="240" w:line="480" w:lineRule="auto"/>
        <w:ind w:firstLine="708"/>
        <w:rPr>
          <w:rFonts w:ascii="Times New Roman" w:hAnsi="Times New Roman" w:cs="Times New Roman"/>
          <w:sz w:val="24"/>
          <w:szCs w:val="24"/>
          <w:shd w:val="clear" w:color="auto" w:fill="FFFFFF"/>
        </w:rPr>
      </w:pPr>
      <w:r w:rsidRPr="0096792B">
        <w:rPr>
          <w:rFonts w:ascii="Times New Roman" w:hAnsi="Times New Roman" w:cs="Times New Roman"/>
          <w:sz w:val="24"/>
          <w:szCs w:val="24"/>
        </w:rPr>
        <w:t xml:space="preserve">Os dados </w:t>
      </w:r>
      <w:r w:rsidR="00170992" w:rsidRPr="0096792B">
        <w:rPr>
          <w:rFonts w:ascii="Times New Roman" w:hAnsi="Times New Roman" w:cs="Times New Roman"/>
          <w:sz w:val="24"/>
          <w:szCs w:val="24"/>
        </w:rPr>
        <w:t xml:space="preserve">mostram que a principal atividade inovativa desenvolvida pelas empresas de </w:t>
      </w:r>
      <w:r w:rsidR="00170992" w:rsidRPr="0096792B">
        <w:rPr>
          <w:rFonts w:ascii="Times New Roman" w:hAnsi="Times New Roman" w:cs="Times New Roman"/>
          <w:sz w:val="24"/>
          <w:szCs w:val="24"/>
        </w:rPr>
        <w:lastRenderedPageBreak/>
        <w:t>TI de Minas Gerais é P&amp;D interna. Além disso, uma proporção muito grande das empresas realiza outras atividades típicas do processo de inovação, tais como aquisição de conhecimentos e tecnologias, ou mesmo de software.</w:t>
      </w:r>
    </w:p>
    <w:p w:rsidR="00170992" w:rsidRPr="0096792B" w:rsidRDefault="00170992" w:rsidP="0096792B">
      <w:pPr>
        <w:widowControl w:val="0"/>
        <w:spacing w:after="240" w:line="480" w:lineRule="auto"/>
        <w:ind w:firstLine="709"/>
        <w:rPr>
          <w:rFonts w:ascii="Times New Roman" w:hAnsi="Times New Roman" w:cs="Times New Roman"/>
          <w:b/>
          <w:sz w:val="24"/>
          <w:szCs w:val="24"/>
        </w:rPr>
      </w:pPr>
      <w:r w:rsidRPr="0096792B">
        <w:rPr>
          <w:rFonts w:ascii="Times New Roman" w:hAnsi="Times New Roman" w:cs="Times New Roman"/>
          <w:sz w:val="24"/>
          <w:szCs w:val="24"/>
        </w:rPr>
        <w:t>Contudo, chama a atenção também que, apesar de mais da metade das empresas formular suas estratégias de inovação, uma proporção menor realiza pesquisas de mercado. Além disso, uma proporção relativamente menor de empresas (55%) realiza treinamentos referentes à inovação, se comparado a outras atividades inovativas. Sobre isso, Bignetti (2002) revela a necessidade de busca de parcerias externas, estimulando a troca de ideias e a formulação de inovações de maneira menos arriscada e mais econômica.</w:t>
      </w:r>
    </w:p>
    <w:p w:rsidR="00170992" w:rsidRPr="0096792B" w:rsidRDefault="00170992" w:rsidP="0096792B">
      <w:pPr>
        <w:widowControl w:val="0"/>
        <w:spacing w:after="240" w:line="480" w:lineRule="auto"/>
        <w:rPr>
          <w:rFonts w:ascii="Times New Roman" w:hAnsi="Times New Roman" w:cs="Times New Roman"/>
          <w:i/>
          <w:sz w:val="24"/>
          <w:szCs w:val="24"/>
        </w:rPr>
      </w:pPr>
      <w:r w:rsidRPr="0096792B">
        <w:rPr>
          <w:rFonts w:ascii="Times New Roman" w:hAnsi="Times New Roman" w:cs="Times New Roman"/>
          <w:i/>
          <w:sz w:val="24"/>
          <w:szCs w:val="24"/>
        </w:rPr>
        <w:t>4.</w:t>
      </w:r>
      <w:r w:rsidR="002503AA" w:rsidRPr="0096792B">
        <w:rPr>
          <w:rFonts w:ascii="Times New Roman" w:hAnsi="Times New Roman" w:cs="Times New Roman"/>
          <w:i/>
          <w:sz w:val="24"/>
          <w:szCs w:val="24"/>
        </w:rPr>
        <w:t>3</w:t>
      </w:r>
      <w:r w:rsidRPr="0096792B">
        <w:rPr>
          <w:rFonts w:ascii="Times New Roman" w:hAnsi="Times New Roman" w:cs="Times New Roman"/>
          <w:i/>
          <w:sz w:val="24"/>
          <w:szCs w:val="24"/>
        </w:rPr>
        <w:t>. Estrutura e gestão</w:t>
      </w:r>
    </w:p>
    <w:p w:rsidR="00170992" w:rsidRPr="0096792B" w:rsidRDefault="00170992"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 xml:space="preserve">Quase a metade (48%) das empresas possui uma área ou projeto responsável especificamente pela inovação. Dessas empresas, 62% possuem uma área de inovação ligada diretamente à diretoria, enquanto que proporções menores estruturam a inovação em projetos internos (19%), em níveis de </w:t>
      </w:r>
      <w:r w:rsidRPr="0096792B">
        <w:rPr>
          <w:rFonts w:ascii="Times New Roman" w:hAnsi="Times New Roman" w:cs="Times New Roman"/>
          <w:i/>
          <w:sz w:val="24"/>
          <w:szCs w:val="24"/>
        </w:rPr>
        <w:t>staff</w:t>
      </w:r>
      <w:r w:rsidRPr="0096792B">
        <w:rPr>
          <w:rFonts w:ascii="Times New Roman" w:hAnsi="Times New Roman" w:cs="Times New Roman"/>
          <w:sz w:val="24"/>
          <w:szCs w:val="24"/>
        </w:rPr>
        <w:t>/assessoria (9,5%) ou de gerência (9,5%).</w:t>
      </w:r>
    </w:p>
    <w:p w:rsidR="00170992" w:rsidRPr="0096792B" w:rsidRDefault="00170992"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 xml:space="preserve">Os dados mostram também que das empresas que possuem uma área de inovação, a principal atribuição dessa área é a P&amp;D (76% dos casos), seguida por planejamento estratégico (24%). Essa definição das empresas reforça a discussão teórica no que tange à característica da inovação no setor de TI e à característica estratégica da inovação. Já que </w:t>
      </w:r>
      <w:r w:rsidRPr="0096792B">
        <w:rPr>
          <w:rFonts w:ascii="Times New Roman" w:hAnsi="Times New Roman" w:cs="Times New Roman"/>
          <w:sz w:val="24"/>
          <w:szCs w:val="24"/>
          <w:shd w:val="clear" w:color="auto" w:fill="FFFFFF"/>
        </w:rPr>
        <w:t>a atividade inovativa nas SICs tende a estar ligada aos departamentos de P&amp;D, contudo, sob a orientação presente dos dirigentes dessas empresas (</w:t>
      </w:r>
      <w:r w:rsidR="004A2516" w:rsidRPr="0096792B">
        <w:rPr>
          <w:rFonts w:ascii="Times New Roman" w:hAnsi="Times New Roman" w:cs="Times New Roman"/>
          <w:sz w:val="24"/>
          <w:szCs w:val="24"/>
          <w:shd w:val="clear" w:color="auto" w:fill="FFFFFF"/>
        </w:rPr>
        <w:t>BIGNETTI</w:t>
      </w:r>
      <w:r w:rsidRPr="0096792B">
        <w:rPr>
          <w:rFonts w:ascii="Times New Roman" w:hAnsi="Times New Roman" w:cs="Times New Roman"/>
          <w:sz w:val="24"/>
          <w:szCs w:val="24"/>
          <w:shd w:val="clear" w:color="auto" w:fill="FFFFFF"/>
        </w:rPr>
        <w:t xml:space="preserve">, 2002). Um fato preocupante, entretanto, é a formação comumente mais técnica e menos gerencial desses dirigentes, que </w:t>
      </w:r>
      <w:r w:rsidRPr="0096792B">
        <w:rPr>
          <w:rFonts w:ascii="Times New Roman" w:hAnsi="Times New Roman" w:cs="Times New Roman"/>
          <w:sz w:val="24"/>
          <w:szCs w:val="24"/>
          <w:shd w:val="clear" w:color="auto" w:fill="FFFFFF"/>
        </w:rPr>
        <w:lastRenderedPageBreak/>
        <w:t>pode comprometer o desempenho dessas organizações (</w:t>
      </w:r>
      <w:r w:rsidR="004A2516" w:rsidRPr="0096792B">
        <w:rPr>
          <w:rFonts w:ascii="Times New Roman" w:hAnsi="Times New Roman" w:cs="Times New Roman"/>
          <w:sz w:val="24"/>
          <w:szCs w:val="24"/>
          <w:shd w:val="clear" w:color="auto" w:fill="FFFFFF"/>
        </w:rPr>
        <w:t>DENIZOT</w:t>
      </w:r>
      <w:r w:rsidRPr="0096792B">
        <w:rPr>
          <w:rFonts w:ascii="Times New Roman" w:hAnsi="Times New Roman" w:cs="Times New Roman"/>
          <w:sz w:val="24"/>
          <w:szCs w:val="24"/>
          <w:shd w:val="clear" w:color="auto" w:fill="FFFFFF"/>
        </w:rPr>
        <w:t xml:space="preserve">, 2014). </w:t>
      </w:r>
      <w:r w:rsidRPr="0096792B">
        <w:rPr>
          <w:rFonts w:ascii="Times New Roman" w:hAnsi="Times New Roman" w:cs="Times New Roman"/>
          <w:sz w:val="24"/>
          <w:szCs w:val="24"/>
        </w:rPr>
        <w:t>Com relação aos elementos que caracterizam a gestão da inovação, os dados mostram que 64% das empresas não possuem orçamento dedicado à inovação e que a maioria não definiu métricas do desempenho inovativo da empresa ou do executivo de inovação (75% e 80%, respectivamente). Além disso, destaca-se que 45% dos responsáveis pela inovação nunca participaram de treinamento em gestão da inovação.</w:t>
      </w:r>
    </w:p>
    <w:p w:rsidR="00170992" w:rsidRPr="0096792B" w:rsidRDefault="00063AD5" w:rsidP="0096792B">
      <w:pPr>
        <w:widowControl w:val="0"/>
        <w:spacing w:after="240" w:line="480" w:lineRule="auto"/>
        <w:rPr>
          <w:rFonts w:ascii="Times New Roman" w:hAnsi="Times New Roman" w:cs="Times New Roman"/>
          <w:i/>
          <w:sz w:val="24"/>
          <w:szCs w:val="24"/>
        </w:rPr>
      </w:pPr>
      <w:r w:rsidRPr="0096792B">
        <w:rPr>
          <w:rFonts w:ascii="Times New Roman" w:hAnsi="Times New Roman" w:cs="Times New Roman"/>
          <w:i/>
          <w:sz w:val="24"/>
          <w:szCs w:val="24"/>
        </w:rPr>
        <w:t>4.4</w:t>
      </w:r>
      <w:r w:rsidR="00170992" w:rsidRPr="0096792B">
        <w:rPr>
          <w:rFonts w:ascii="Times New Roman" w:hAnsi="Times New Roman" w:cs="Times New Roman"/>
          <w:i/>
          <w:sz w:val="24"/>
          <w:szCs w:val="24"/>
        </w:rPr>
        <w:t>. Recursos Humanos</w:t>
      </w:r>
    </w:p>
    <w:p w:rsidR="0012622F" w:rsidRPr="0096792B" w:rsidRDefault="00170992" w:rsidP="0096792B">
      <w:pPr>
        <w:widowControl w:val="0"/>
        <w:spacing w:after="240" w:line="480" w:lineRule="auto"/>
        <w:ind w:firstLine="708"/>
        <w:rPr>
          <w:rFonts w:ascii="Times New Roman" w:hAnsi="Times New Roman" w:cs="Times New Roman"/>
          <w:sz w:val="24"/>
          <w:szCs w:val="24"/>
          <w:shd w:val="clear" w:color="auto" w:fill="FFFFFF"/>
        </w:rPr>
      </w:pPr>
      <w:r w:rsidRPr="0096792B">
        <w:rPr>
          <w:rFonts w:ascii="Times New Roman" w:hAnsi="Times New Roman" w:cs="Times New Roman"/>
          <w:sz w:val="24"/>
          <w:szCs w:val="24"/>
        </w:rPr>
        <w:t>De modo geral, como apontado na literatura (</w:t>
      </w:r>
      <w:r w:rsidR="00F93145" w:rsidRPr="0096792B">
        <w:rPr>
          <w:rFonts w:ascii="Times New Roman" w:hAnsi="Times New Roman" w:cs="Times New Roman"/>
          <w:sz w:val="24"/>
          <w:szCs w:val="24"/>
          <w:shd w:val="clear" w:color="auto" w:fill="FFFFFF"/>
        </w:rPr>
        <w:t>BIGNETTI, 2002; HIPP;</w:t>
      </w:r>
      <w:r w:rsidR="004A2516" w:rsidRPr="0096792B">
        <w:rPr>
          <w:rFonts w:ascii="Times New Roman" w:hAnsi="Times New Roman" w:cs="Times New Roman"/>
          <w:sz w:val="24"/>
          <w:szCs w:val="24"/>
          <w:shd w:val="clear" w:color="auto" w:fill="FFFFFF"/>
        </w:rPr>
        <w:t xml:space="preserve"> GRUPP, 2005; DENIZOT</w:t>
      </w:r>
      <w:r w:rsidRPr="0096792B">
        <w:rPr>
          <w:rFonts w:ascii="Times New Roman" w:hAnsi="Times New Roman" w:cs="Times New Roman"/>
          <w:sz w:val="24"/>
          <w:szCs w:val="24"/>
          <w:shd w:val="clear" w:color="auto" w:fill="FFFFFF"/>
        </w:rPr>
        <w:t>, 2014)</w:t>
      </w:r>
      <w:r w:rsidRPr="0096792B">
        <w:rPr>
          <w:rFonts w:ascii="Times New Roman" w:hAnsi="Times New Roman" w:cs="Times New Roman"/>
          <w:sz w:val="24"/>
          <w:szCs w:val="24"/>
        </w:rPr>
        <w:t xml:space="preserve"> as equipes de inovação são muito reduzidas, com até 3 pessoas em 86% das empresas. </w:t>
      </w:r>
      <w:r w:rsidR="00482A20">
        <w:rPr>
          <w:rFonts w:ascii="Times New Roman" w:hAnsi="Times New Roman" w:cs="Times New Roman"/>
          <w:sz w:val="24"/>
          <w:szCs w:val="24"/>
        </w:rPr>
        <w:t xml:space="preserve"> Os gráficos 5 e 6</w:t>
      </w:r>
      <w:r w:rsidRPr="0096792B">
        <w:rPr>
          <w:rFonts w:ascii="Times New Roman" w:hAnsi="Times New Roman" w:cs="Times New Roman"/>
          <w:sz w:val="24"/>
          <w:szCs w:val="24"/>
        </w:rPr>
        <w:t xml:space="preserve"> exibem o perfil de faixa etária, respectivamente, dos profissionais que atuam com inovação e dos responsáveis pelas equipes de inovação nas empresas pesquisadas. </w:t>
      </w:r>
    </w:p>
    <w:p w:rsidR="009E7ACD" w:rsidRPr="0096792B" w:rsidRDefault="009E7ACD" w:rsidP="009E7ACD">
      <w:pPr>
        <w:pStyle w:val="ListasFigurasTese"/>
        <w:spacing w:before="0" w:after="240"/>
        <w:jc w:val="center"/>
        <w:rPr>
          <w:rFonts w:cs="Times New Roman"/>
          <w:b w:val="0"/>
          <w:sz w:val="24"/>
          <w:szCs w:val="24"/>
        </w:rPr>
      </w:pPr>
      <w:r>
        <w:rPr>
          <w:rFonts w:cs="Times New Roman"/>
          <w:sz w:val="24"/>
          <w:szCs w:val="24"/>
        </w:rPr>
        <w:t>Gráfico 5</w:t>
      </w:r>
      <w:r w:rsidRPr="0096792B">
        <w:rPr>
          <w:rFonts w:cs="Times New Roman"/>
          <w:sz w:val="24"/>
          <w:szCs w:val="24"/>
        </w:rPr>
        <w:t xml:space="preserve"> </w:t>
      </w:r>
      <w:r w:rsidRPr="0096792B">
        <w:rPr>
          <w:rFonts w:cs="Times New Roman"/>
          <w:b w:val="0"/>
          <w:sz w:val="24"/>
          <w:szCs w:val="24"/>
        </w:rPr>
        <w:t>- Perfil de faixa etária dos profissionais que atuam com inovação</w:t>
      </w:r>
    </w:p>
    <w:p w:rsidR="009E7ACD" w:rsidRPr="0096792B" w:rsidRDefault="009E7ACD" w:rsidP="009E7ACD">
      <w:pPr>
        <w:spacing w:line="240" w:lineRule="auto"/>
        <w:jc w:val="center"/>
      </w:pPr>
      <w:r w:rsidRPr="0096792B">
        <w:rPr>
          <w:noProof/>
          <w:lang w:eastAsia="pt-BR"/>
        </w:rPr>
        <w:drawing>
          <wp:inline distT="0" distB="0" distL="0" distR="0" wp14:anchorId="4BA746FE" wp14:editId="6B5B667F">
            <wp:extent cx="4710446" cy="2400300"/>
            <wp:effectExtent l="0" t="0" r="0" b="0"/>
            <wp:docPr id="11"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E7ACD" w:rsidRPr="009E7ACD" w:rsidRDefault="009E7ACD" w:rsidP="009E7ACD">
      <w:pPr>
        <w:spacing w:after="240" w:line="240" w:lineRule="auto"/>
        <w:jc w:val="center"/>
        <w:rPr>
          <w:rFonts w:ascii="Times New Roman" w:hAnsi="Times New Roman" w:cs="Times New Roman"/>
          <w:sz w:val="20"/>
          <w:szCs w:val="24"/>
        </w:rPr>
      </w:pPr>
      <w:r w:rsidRPr="009E7ACD">
        <w:rPr>
          <w:rFonts w:ascii="Times New Roman" w:hAnsi="Times New Roman" w:cs="Times New Roman"/>
          <w:sz w:val="20"/>
          <w:szCs w:val="24"/>
        </w:rPr>
        <w:t>Fonte: elaborado a partir de dados da pesquisa.</w:t>
      </w:r>
    </w:p>
    <w:p w:rsidR="009E7ACD" w:rsidRPr="0096792B" w:rsidRDefault="009E7ACD" w:rsidP="009E7ACD">
      <w:pPr>
        <w:pStyle w:val="ListasFigurasTese"/>
        <w:spacing w:before="0" w:after="240"/>
        <w:jc w:val="center"/>
        <w:rPr>
          <w:rFonts w:cs="Times New Roman"/>
          <w:b w:val="0"/>
          <w:sz w:val="24"/>
          <w:szCs w:val="24"/>
        </w:rPr>
      </w:pPr>
      <w:r>
        <w:rPr>
          <w:rFonts w:cs="Times New Roman"/>
          <w:sz w:val="24"/>
          <w:szCs w:val="24"/>
        </w:rPr>
        <w:lastRenderedPageBreak/>
        <w:t>Gráfico 6</w:t>
      </w:r>
      <w:r w:rsidRPr="0096792B">
        <w:rPr>
          <w:rFonts w:cs="Times New Roman"/>
          <w:sz w:val="24"/>
          <w:szCs w:val="24"/>
        </w:rPr>
        <w:t xml:space="preserve"> </w:t>
      </w:r>
      <w:r w:rsidRPr="0096792B">
        <w:rPr>
          <w:rFonts w:cs="Times New Roman"/>
          <w:b w:val="0"/>
          <w:sz w:val="24"/>
          <w:szCs w:val="24"/>
        </w:rPr>
        <w:t>- Perfil de faixa etária dos responsáveis pelas equipes</w:t>
      </w:r>
    </w:p>
    <w:p w:rsidR="009E7ACD" w:rsidRPr="0096792B" w:rsidRDefault="009E7ACD" w:rsidP="009E7ACD">
      <w:pPr>
        <w:jc w:val="center"/>
      </w:pPr>
      <w:r w:rsidRPr="0096792B">
        <w:rPr>
          <w:noProof/>
          <w:lang w:eastAsia="pt-BR"/>
        </w:rPr>
        <w:drawing>
          <wp:inline distT="0" distB="0" distL="0" distR="0" wp14:anchorId="2C780961" wp14:editId="140C8FCE">
            <wp:extent cx="5556620" cy="2266950"/>
            <wp:effectExtent l="0" t="0" r="6350" b="0"/>
            <wp:docPr id="12"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E7ACD" w:rsidRPr="009E7ACD" w:rsidRDefault="009E7ACD" w:rsidP="009E7ACD">
      <w:pPr>
        <w:spacing w:after="240" w:line="240" w:lineRule="auto"/>
        <w:jc w:val="center"/>
        <w:rPr>
          <w:rFonts w:ascii="Times New Roman" w:hAnsi="Times New Roman" w:cs="Times New Roman"/>
          <w:sz w:val="20"/>
          <w:szCs w:val="24"/>
        </w:rPr>
      </w:pPr>
      <w:r w:rsidRPr="009E7ACD">
        <w:rPr>
          <w:rFonts w:ascii="Times New Roman" w:hAnsi="Times New Roman" w:cs="Times New Roman"/>
          <w:sz w:val="20"/>
          <w:szCs w:val="24"/>
        </w:rPr>
        <w:t>Fonte: elaborado a partir de dados da pesquisa.</w:t>
      </w:r>
    </w:p>
    <w:p w:rsidR="009E7ACD" w:rsidRPr="0096792B" w:rsidRDefault="009E7ACD" w:rsidP="009E7ACD">
      <w:pPr>
        <w:spacing w:after="240" w:line="240" w:lineRule="auto"/>
        <w:jc w:val="center"/>
      </w:pPr>
    </w:p>
    <w:p w:rsidR="00AB73CC" w:rsidRPr="0096792B" w:rsidRDefault="00AB73CC"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Os dados mostram que 70% dos responsáveis pela inovação possuem idade abaixo dos 45 anos. Das 90 pessoas trabalhando nas equipes de inovação, 82 são homens (91%). Do total, apenas 14% das pessoas vem de outros estados. No tocante à formação, 36% são apenas graduadas e 63% possuem pós-graduação (além da graduação). Em relação à última formação dos profissionais envolvidos com a inovação, as principais áreas são Ciência da Computação (41%), Administração (21%) e Sistemas de Informação (11%). Dentre os 90 profissionais, 70% concluíram alguma atividade de formação nos últimos 10 anos (2005-2015).</w:t>
      </w:r>
    </w:p>
    <w:p w:rsidR="00D06E9B" w:rsidRDefault="005C029C"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Do total de 44 responsáveis pela inovação (44 empresas estudadas), 41 são homens (93%). Os dados mostram que 19 pessoas (43%) são naturais de Belo Horizonte, capital de Minas Gerais. A</w:t>
      </w:r>
      <w:r w:rsidR="00F066C3" w:rsidRPr="0096792B">
        <w:rPr>
          <w:rFonts w:ascii="Times New Roman" w:hAnsi="Times New Roman" w:cs="Times New Roman"/>
          <w:sz w:val="24"/>
          <w:szCs w:val="24"/>
        </w:rPr>
        <w:t>inda em relação à origem, 23% vê</w:t>
      </w:r>
      <w:r w:rsidRPr="0096792B">
        <w:rPr>
          <w:rFonts w:ascii="Times New Roman" w:hAnsi="Times New Roman" w:cs="Times New Roman"/>
          <w:sz w:val="24"/>
          <w:szCs w:val="24"/>
        </w:rPr>
        <w:t xml:space="preserve">m de outros estados, percentual um pouco maior se comparado aos profissionais que compõem as equipes. Quanto à formação dos responsáveis pela inovação, 70% possui nível técnico (2º grau), todos possuem graduação e grande parte (68%) também possui pós-graduação. Quanto à última área de formação dos </w:t>
      </w:r>
      <w:r w:rsidRPr="0096792B">
        <w:rPr>
          <w:rFonts w:ascii="Times New Roman" w:hAnsi="Times New Roman" w:cs="Times New Roman"/>
          <w:sz w:val="24"/>
          <w:szCs w:val="24"/>
        </w:rPr>
        <w:lastRenderedPageBreak/>
        <w:t xml:space="preserve">responsáveis pela inovação, as principais são Administração (34%) e Ciência da computação (16%), seguidas de modo difuso pelas demais áreas de formação (50%). </w:t>
      </w:r>
    </w:p>
    <w:p w:rsidR="005C029C" w:rsidRPr="0096792B" w:rsidRDefault="005C029C" w:rsidP="0096792B">
      <w:pPr>
        <w:widowControl w:val="0"/>
        <w:spacing w:after="240" w:line="480" w:lineRule="auto"/>
        <w:ind w:firstLine="708"/>
        <w:rPr>
          <w:rFonts w:ascii="Times New Roman" w:hAnsi="Times New Roman" w:cs="Times New Roman"/>
          <w:sz w:val="24"/>
          <w:szCs w:val="24"/>
          <w:shd w:val="clear" w:color="auto" w:fill="FFFFFF"/>
        </w:rPr>
      </w:pPr>
      <w:r w:rsidRPr="0096792B">
        <w:rPr>
          <w:rFonts w:ascii="Times New Roman" w:hAnsi="Times New Roman" w:cs="Times New Roman"/>
          <w:sz w:val="24"/>
          <w:szCs w:val="24"/>
        </w:rPr>
        <w:t>Ainda com relação à formação, destaca-se que 68% dos responsáveis pela inovação concluíram algum nível de formação nos últimos anos (2005-2015).</w:t>
      </w:r>
      <w:r w:rsidR="00FF69FD" w:rsidRPr="0096792B">
        <w:rPr>
          <w:rFonts w:ascii="Times New Roman" w:hAnsi="Times New Roman" w:cs="Times New Roman"/>
          <w:sz w:val="24"/>
          <w:szCs w:val="24"/>
        </w:rPr>
        <w:t xml:space="preserve"> </w:t>
      </w:r>
      <w:r w:rsidRPr="0096792B">
        <w:rPr>
          <w:rFonts w:ascii="Times New Roman" w:hAnsi="Times New Roman" w:cs="Times New Roman"/>
          <w:sz w:val="24"/>
          <w:szCs w:val="24"/>
          <w:shd w:val="clear" w:color="auto" w:fill="FFFFFF"/>
        </w:rPr>
        <w:t xml:space="preserve">Esses dados vão ao encontro dos principais achados sobre o perfil de profissionais de TI presentes na literatura da área, </w:t>
      </w:r>
      <w:r w:rsidR="00EB7022">
        <w:rPr>
          <w:rFonts w:ascii="Times New Roman" w:hAnsi="Times New Roman" w:cs="Times New Roman"/>
          <w:sz w:val="24"/>
          <w:szCs w:val="24"/>
          <w:shd w:val="clear" w:color="auto" w:fill="FFFFFF"/>
        </w:rPr>
        <w:t>especi</w:t>
      </w:r>
      <w:r w:rsidRPr="0096792B">
        <w:rPr>
          <w:rFonts w:ascii="Times New Roman" w:hAnsi="Times New Roman" w:cs="Times New Roman"/>
          <w:sz w:val="24"/>
          <w:szCs w:val="24"/>
          <w:shd w:val="clear" w:color="auto" w:fill="FFFFFF"/>
        </w:rPr>
        <w:t>almente no que se refere à predominância dos homens em relação às mulheres (</w:t>
      </w:r>
      <w:r w:rsidR="00FF69FD" w:rsidRPr="0096792B">
        <w:rPr>
          <w:rFonts w:ascii="Times New Roman" w:hAnsi="Times New Roman" w:cs="Times New Roman"/>
          <w:sz w:val="24"/>
          <w:szCs w:val="24"/>
          <w:shd w:val="clear" w:color="auto" w:fill="FFFFFF"/>
        </w:rPr>
        <w:t>CASTRO, 2013; SOUZA</w:t>
      </w:r>
      <w:r w:rsidRPr="0096792B">
        <w:rPr>
          <w:rFonts w:ascii="Times New Roman" w:hAnsi="Times New Roman" w:cs="Times New Roman"/>
          <w:sz w:val="24"/>
          <w:szCs w:val="24"/>
          <w:shd w:val="clear" w:color="auto" w:fill="FFFFFF"/>
        </w:rPr>
        <w:t>, 2016); à presença de profissionais mais jovens (</w:t>
      </w:r>
      <w:r w:rsidR="00FF69FD" w:rsidRPr="0096792B">
        <w:rPr>
          <w:rFonts w:ascii="Times New Roman" w:hAnsi="Times New Roman" w:cs="Times New Roman"/>
          <w:sz w:val="24"/>
          <w:szCs w:val="24"/>
          <w:shd w:val="clear" w:color="auto" w:fill="FFFFFF"/>
        </w:rPr>
        <w:t>SOUZA</w:t>
      </w:r>
      <w:r w:rsidR="00A47CF1">
        <w:rPr>
          <w:rFonts w:ascii="Times New Roman" w:hAnsi="Times New Roman" w:cs="Times New Roman"/>
          <w:sz w:val="24"/>
          <w:szCs w:val="24"/>
          <w:shd w:val="clear" w:color="auto" w:fill="FFFFFF"/>
        </w:rPr>
        <w:t>,</w:t>
      </w:r>
      <w:r w:rsidRPr="0096792B">
        <w:rPr>
          <w:rFonts w:ascii="Times New Roman" w:hAnsi="Times New Roman" w:cs="Times New Roman"/>
          <w:sz w:val="24"/>
          <w:szCs w:val="24"/>
          <w:shd w:val="clear" w:color="auto" w:fill="FFFFFF"/>
        </w:rPr>
        <w:t xml:space="preserve"> 2016) e com alta formação técnica, comumente constituída por ensino superior e pós-graduações (</w:t>
      </w:r>
      <w:r w:rsidR="00FF69FD" w:rsidRPr="0096792B">
        <w:rPr>
          <w:rFonts w:ascii="Times New Roman" w:hAnsi="Times New Roman" w:cs="Times New Roman"/>
          <w:sz w:val="24"/>
          <w:szCs w:val="24"/>
          <w:shd w:val="clear" w:color="auto" w:fill="FFFFFF"/>
        </w:rPr>
        <w:t>NÄHLINDER, 2005; BERNARDES; KALLUP, 2007; SOUZA, 2016).</w:t>
      </w:r>
    </w:p>
    <w:p w:rsidR="004B69AB" w:rsidRPr="0096792B" w:rsidRDefault="00F8107F"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 xml:space="preserve">Com relação aos dados funcionais dos responsáveis pela inovação nas empresas, 86% são executivos, diretores ou sócios, enquanto que 7% gerentes. </w:t>
      </w:r>
      <w:r w:rsidR="004B69AB" w:rsidRPr="0096792B">
        <w:rPr>
          <w:rFonts w:ascii="Times New Roman" w:hAnsi="Times New Roman" w:cs="Times New Roman"/>
          <w:sz w:val="24"/>
          <w:szCs w:val="24"/>
        </w:rPr>
        <w:t>Muitos deles (66%) têm mais de 5 anos de trabalho na empresa e não possuíam experiência anterior com inovação antes de entrar para a empresa (66%). Dentre os 34% de responsáveis pela inovação que possuíam alguma e</w:t>
      </w:r>
      <w:r w:rsidRPr="0096792B">
        <w:rPr>
          <w:rFonts w:ascii="Times New Roman" w:hAnsi="Times New Roman" w:cs="Times New Roman"/>
          <w:sz w:val="24"/>
          <w:szCs w:val="24"/>
        </w:rPr>
        <w:t xml:space="preserve">xperiência prévia com inovação, mais da metade tiveram 5 ou mais anos de experiência com inovação antes de trabalhar na empresa atual. Os principais setores de origem desses profissionais foram: bancos, consultoria em gestão empresarial, consultoria em TI, desenvolvimento de </w:t>
      </w:r>
      <w:r w:rsidRPr="0096792B">
        <w:rPr>
          <w:rFonts w:ascii="Times New Roman" w:hAnsi="Times New Roman" w:cs="Times New Roman"/>
          <w:i/>
          <w:sz w:val="24"/>
          <w:szCs w:val="24"/>
        </w:rPr>
        <w:t>software</w:t>
      </w:r>
      <w:r w:rsidRPr="0096792B">
        <w:rPr>
          <w:rFonts w:ascii="Times New Roman" w:hAnsi="Times New Roman" w:cs="Times New Roman"/>
          <w:sz w:val="24"/>
          <w:szCs w:val="24"/>
        </w:rPr>
        <w:t xml:space="preserve">, suporte de TI, energia elétrica, </w:t>
      </w:r>
      <w:r w:rsidRPr="00ED752C">
        <w:rPr>
          <w:rFonts w:ascii="Times New Roman" w:hAnsi="Times New Roman" w:cs="Times New Roman"/>
          <w:i/>
          <w:sz w:val="24"/>
          <w:szCs w:val="24"/>
        </w:rPr>
        <w:t>holdings</w:t>
      </w:r>
      <w:r w:rsidRPr="0096792B">
        <w:rPr>
          <w:rFonts w:ascii="Times New Roman" w:hAnsi="Times New Roman" w:cs="Times New Roman"/>
          <w:sz w:val="24"/>
          <w:szCs w:val="24"/>
        </w:rPr>
        <w:t xml:space="preserve">, negócios de lazer e eventos e telecomunicações. Nessas experiências prévias, essas pessoas ocuparam em sua maioria (80%) cargos de nível gerencial ou superiores. Sobre o preparo dos dirigentes para uma gestão da inovação, autores como </w:t>
      </w:r>
      <w:r w:rsidRPr="0096792B">
        <w:rPr>
          <w:rFonts w:ascii="Times New Roman" w:hAnsi="Times New Roman" w:cs="Times New Roman"/>
          <w:sz w:val="24"/>
          <w:szCs w:val="24"/>
          <w:shd w:val="clear" w:color="auto" w:fill="FFFFFF"/>
        </w:rPr>
        <w:t>Denizot (2014), revelam a atenção que deve ser dada para o fato desses profissionais possuírem uma formação altamente técnica e pouco ligada à gestão da inovação nas empresas de TI.</w:t>
      </w:r>
    </w:p>
    <w:p w:rsidR="007B3D02" w:rsidRPr="0096792B" w:rsidRDefault="00F8107F" w:rsidP="0096792B">
      <w:pPr>
        <w:pStyle w:val="Ttulo1"/>
        <w:keepNext w:val="0"/>
        <w:keepLines w:val="0"/>
        <w:widowControl w:val="0"/>
        <w:spacing w:after="240" w:line="480" w:lineRule="auto"/>
        <w:rPr>
          <w:caps w:val="0"/>
          <w:lang w:val="pt-BR"/>
        </w:rPr>
      </w:pPr>
      <w:r w:rsidRPr="0096792B">
        <w:rPr>
          <w:caps w:val="0"/>
          <w:lang w:val="pt-BR"/>
        </w:rPr>
        <w:lastRenderedPageBreak/>
        <w:t xml:space="preserve">5. Considerações Finais </w:t>
      </w:r>
    </w:p>
    <w:p w:rsidR="007B3D02" w:rsidRPr="0096792B" w:rsidRDefault="00F8107F"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 xml:space="preserve">Os resultados encontrados permitem algumas reflexões importantes para uma </w:t>
      </w:r>
      <w:r w:rsidR="00ED752C">
        <w:rPr>
          <w:rFonts w:ascii="Times New Roman" w:hAnsi="Times New Roman" w:cs="Times New Roman"/>
          <w:sz w:val="24"/>
          <w:szCs w:val="24"/>
        </w:rPr>
        <w:t>visão</w:t>
      </w:r>
      <w:r w:rsidRPr="0096792B">
        <w:rPr>
          <w:rFonts w:ascii="Times New Roman" w:hAnsi="Times New Roman" w:cs="Times New Roman"/>
          <w:sz w:val="24"/>
          <w:szCs w:val="24"/>
        </w:rPr>
        <w:t xml:space="preserve"> panorâmica da inovação, considerando as dimensões estrutura e gestão, processos e recursos humanos. Em primeiro lugar, tem-se um perfil de empresas peculiar, de negócio crescente, que </w:t>
      </w:r>
      <w:r w:rsidR="007B3D02" w:rsidRPr="0096792B">
        <w:rPr>
          <w:rFonts w:ascii="Times New Roman" w:hAnsi="Times New Roman" w:cs="Times New Roman"/>
          <w:sz w:val="24"/>
          <w:szCs w:val="24"/>
        </w:rPr>
        <w:t>atualmente passa por declínio devido ao contexto econômico geral, mas que se mostra como um setor promissor, especialmente em termos da inovação. São empresas com estruturas pequenas,</w:t>
      </w:r>
      <w:r w:rsidR="004F1037" w:rsidRPr="0096792B">
        <w:rPr>
          <w:rFonts w:ascii="Times New Roman" w:hAnsi="Times New Roman" w:cs="Times New Roman"/>
          <w:sz w:val="24"/>
          <w:szCs w:val="24"/>
        </w:rPr>
        <w:t xml:space="preserve"> sendo a maioria do tipo matriz</w:t>
      </w:r>
      <w:r w:rsidR="007B3D02" w:rsidRPr="0096792B">
        <w:rPr>
          <w:rFonts w:ascii="Times New Roman" w:hAnsi="Times New Roman" w:cs="Times New Roman"/>
          <w:sz w:val="24"/>
          <w:szCs w:val="24"/>
        </w:rPr>
        <w:t xml:space="preserve"> e número de funcionário</w:t>
      </w:r>
      <w:r w:rsidRPr="0096792B">
        <w:rPr>
          <w:rFonts w:ascii="Times New Roman" w:hAnsi="Times New Roman" w:cs="Times New Roman"/>
          <w:sz w:val="24"/>
          <w:szCs w:val="24"/>
        </w:rPr>
        <w:t xml:space="preserve">s reduzidos, mas que têm potencial grande com atuação regional e estadual, tendo, inclusive outros atores envolvidos na governança como Sebrae, Secretaria de Ciência, Tecnologia e Ensino Superior do Governo Estadual e outros. </w:t>
      </w:r>
    </w:p>
    <w:p w:rsidR="007B3D02" w:rsidRPr="0096792B" w:rsidRDefault="00F8107F"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 xml:space="preserve">Em termos de estrutura voltada para a inovação, tem-se que metade das empresas pesquisadas dedica ou uma área ou um projeto específico para a inovação, o que na maioria dos casos está vinculada ao núcleo estratégico (diretoria ou gerência). Esse ponto é bastante positivo porque revela a preocupação com o tema e também com a disponibilização de estruturas adequadas para a viabilização da inovação nessas empresas. Entretanto, alguns pontos revelam-se preocupantes, como por exemplo, o fato do tema “inovação” estar restrito a cargos/posições estratégicas da empresa e/ou restritas à “função” de P&amp;D, na maioria dos casos. Além do fato de não serem dedicadas práticas apropriadas de treinamento no que se refere à gestão da inovação. Soma-se ainda o fato de que a maioria das empresas não tem orçamento específico para investimento em inovação e também não possuem métricas para o desempenho inovativo da empresa ou do executivo de inovação. Tais achados parecem ir de encontro à necessidade de investimento em inovação, especialmente à inovação </w:t>
      </w:r>
      <w:r w:rsidRPr="0096792B">
        <w:rPr>
          <w:rFonts w:ascii="Times New Roman" w:hAnsi="Times New Roman" w:cs="Times New Roman"/>
          <w:sz w:val="24"/>
          <w:szCs w:val="24"/>
        </w:rPr>
        <w:lastRenderedPageBreak/>
        <w:t>organizaciona</w:t>
      </w:r>
      <w:r w:rsidR="004F1037" w:rsidRPr="0096792B">
        <w:rPr>
          <w:rFonts w:ascii="Times New Roman" w:hAnsi="Times New Roman" w:cs="Times New Roman"/>
          <w:sz w:val="24"/>
          <w:szCs w:val="24"/>
        </w:rPr>
        <w:t>l</w:t>
      </w:r>
      <w:r w:rsidRPr="0096792B">
        <w:rPr>
          <w:rFonts w:ascii="Times New Roman" w:hAnsi="Times New Roman" w:cs="Times New Roman"/>
          <w:sz w:val="24"/>
          <w:szCs w:val="24"/>
        </w:rPr>
        <w:t xml:space="preserve"> e busca por vantagem no mercado competitivo, já que revelam uma preocupação</w:t>
      </w:r>
      <w:r w:rsidR="004F1037" w:rsidRPr="0096792B">
        <w:rPr>
          <w:rFonts w:ascii="Times New Roman" w:hAnsi="Times New Roman" w:cs="Times New Roman"/>
          <w:sz w:val="24"/>
          <w:szCs w:val="24"/>
        </w:rPr>
        <w:t xml:space="preserve"> mesmo que inicial com o tema, a</w:t>
      </w:r>
      <w:r w:rsidRPr="0096792B">
        <w:rPr>
          <w:rFonts w:ascii="Times New Roman" w:hAnsi="Times New Roman" w:cs="Times New Roman"/>
          <w:sz w:val="24"/>
          <w:szCs w:val="24"/>
        </w:rPr>
        <w:t xml:space="preserve"> qual parece não estar</w:t>
      </w:r>
      <w:r w:rsidR="004F1037" w:rsidRPr="0096792B">
        <w:rPr>
          <w:rFonts w:ascii="Times New Roman" w:hAnsi="Times New Roman" w:cs="Times New Roman"/>
          <w:sz w:val="24"/>
          <w:szCs w:val="24"/>
        </w:rPr>
        <w:t xml:space="preserve"> sendo adequadamente viabilizada</w:t>
      </w:r>
      <w:r w:rsidRPr="0096792B">
        <w:rPr>
          <w:rFonts w:ascii="Times New Roman" w:hAnsi="Times New Roman" w:cs="Times New Roman"/>
          <w:sz w:val="24"/>
          <w:szCs w:val="24"/>
        </w:rPr>
        <w:t xml:space="preserve"> nas empresas, mediante políticas e práticas concretas e estruturais de investimento financeiro e de pessoal.</w:t>
      </w:r>
    </w:p>
    <w:p w:rsidR="0049340E" w:rsidRDefault="00F8107F"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 xml:space="preserve">Em relação às atividades inovativas, a pesquisa revelou que a P&amp;D interna é a principal atividade utilizada pelas empresas e que além dessa atividade são utilizados outros processos como aquisição de conhecimentos e tecnologias, ou mesmo de software. Contudo, essas estratégias de inovação parecem não estar acompanhadas por medidas como a realização de pesquisas de mercado, treinamentos ou quaisquer outras que contribuam para o preparo de processos válidos e sustentados por escolhas fundamentadas acerca do tema inovação. </w:t>
      </w:r>
      <w:r w:rsidR="0032019F" w:rsidRPr="0096792B">
        <w:rPr>
          <w:rFonts w:ascii="Times New Roman" w:hAnsi="Times New Roman" w:cs="Times New Roman"/>
          <w:sz w:val="24"/>
          <w:szCs w:val="24"/>
        </w:rPr>
        <w:t xml:space="preserve">Os dados sobre os resultados da inovação, por sua vez, revelam a ocorrência de investimentos na estrutura e nas relações externas das empresas pesquisadas. Contudo, o foco principal continua a ser a inovação em produtos, </w:t>
      </w:r>
      <w:r w:rsidRPr="0096792B">
        <w:rPr>
          <w:rFonts w:ascii="Times New Roman" w:hAnsi="Times New Roman" w:cs="Times New Roman"/>
          <w:sz w:val="24"/>
          <w:szCs w:val="24"/>
        </w:rPr>
        <w:t xml:space="preserve">seguida pela inovação em processos e, por fim, a inovação organizacional. É importante dizer que apesar desses investimentos, 70% dos responsáveis pela inovação estão insatisfeitos com o desempenho inovativo das empresas. Ou seja, ao mesmo tempo em que se constata maiores investimentos em inovação, não se percebe uma relação direta entre tal investimento e o desempenho do negócio. </w:t>
      </w:r>
      <w:r w:rsidR="0049340E" w:rsidRPr="0049340E">
        <w:rPr>
          <w:rFonts w:ascii="Times New Roman" w:hAnsi="Times New Roman" w:cs="Times New Roman"/>
          <w:sz w:val="24"/>
          <w:szCs w:val="24"/>
        </w:rPr>
        <w:t>Os dados coletados não nos permitem concluir diretamente sobre o motivo da insatisfação em relação ao desempenho inovativo das empresas pesquisadas, uma vez que a grande maioria delas realizou inovações e muitas realizaram atividades inovativas relevantes para a produção de inovação em um setor intensivo em conhecimento</w:t>
      </w:r>
      <w:r w:rsidR="0049340E">
        <w:rPr>
          <w:rFonts w:ascii="Times New Roman" w:hAnsi="Times New Roman" w:cs="Times New Roman"/>
          <w:sz w:val="24"/>
          <w:szCs w:val="24"/>
        </w:rPr>
        <w:t xml:space="preserve"> –</w:t>
      </w:r>
      <w:r w:rsidR="0049340E" w:rsidRPr="0049340E">
        <w:rPr>
          <w:rFonts w:ascii="Times New Roman" w:hAnsi="Times New Roman" w:cs="Times New Roman"/>
          <w:sz w:val="24"/>
          <w:szCs w:val="24"/>
        </w:rPr>
        <w:t xml:space="preserve"> como é o setor de TI. Seriam necessárias </w:t>
      </w:r>
      <w:r w:rsidR="00A60926">
        <w:rPr>
          <w:rFonts w:ascii="Times New Roman" w:hAnsi="Times New Roman" w:cs="Times New Roman"/>
          <w:sz w:val="24"/>
          <w:szCs w:val="24"/>
        </w:rPr>
        <w:t>outras abordagens metodológicas</w:t>
      </w:r>
      <w:r w:rsidR="0049340E" w:rsidRPr="0049340E">
        <w:rPr>
          <w:rFonts w:ascii="Times New Roman" w:hAnsi="Times New Roman" w:cs="Times New Roman"/>
          <w:sz w:val="24"/>
          <w:szCs w:val="24"/>
        </w:rPr>
        <w:t xml:space="preserve"> para que se pudesse explorar a relação entre satisfação com o desempenho inovativo e a realização de inovações por parte das empresas.</w:t>
      </w:r>
    </w:p>
    <w:p w:rsidR="0032019F" w:rsidRPr="0096792B" w:rsidRDefault="00F8107F"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lastRenderedPageBreak/>
        <w:t>Além disso, 75% dos respondentes consideram que a inovação em produto é aquela que mais contribui para o desempenho do negócio, enquanto que apenas 9% e 5% o fazem para as inovações em processo e organizacionais, gerando a crença por investimentos em inovações de produtos e resistências aos demais tipos – processos e organizacional.</w:t>
      </w:r>
    </w:p>
    <w:p w:rsidR="0032019F" w:rsidRPr="0096792B" w:rsidRDefault="00F8107F"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Tal fato mostra-se como uma fragilidade dessas empresas, já que aponta para uma preocupação com o</w:t>
      </w:r>
      <w:r w:rsidR="004F1037" w:rsidRPr="0096792B">
        <w:rPr>
          <w:rFonts w:ascii="Times New Roman" w:hAnsi="Times New Roman" w:cs="Times New Roman"/>
          <w:sz w:val="24"/>
          <w:szCs w:val="24"/>
        </w:rPr>
        <w:t xml:space="preserve"> tema, a qual</w:t>
      </w:r>
      <w:r w:rsidRPr="0096792B">
        <w:rPr>
          <w:rFonts w:ascii="Times New Roman" w:hAnsi="Times New Roman" w:cs="Times New Roman"/>
          <w:sz w:val="24"/>
          <w:szCs w:val="24"/>
        </w:rPr>
        <w:t xml:space="preserve"> parece não se concretizar em estrutura e processos sólidos e fundamentados. Além disso, embora tenham a capacidade de combinar diferentes tipos de inovação, as empresas pesquisadas apresentaram maiores índices de inovação em produto e serviço </w:t>
      </w:r>
      <w:r w:rsidR="00F83979" w:rsidRPr="0096792B">
        <w:rPr>
          <w:rFonts w:ascii="Times New Roman" w:hAnsi="Times New Roman" w:cs="Times New Roman"/>
          <w:sz w:val="24"/>
          <w:szCs w:val="24"/>
        </w:rPr>
        <w:t xml:space="preserve">em relação aos </w:t>
      </w:r>
      <w:r w:rsidRPr="0096792B">
        <w:rPr>
          <w:rFonts w:ascii="Times New Roman" w:hAnsi="Times New Roman" w:cs="Times New Roman"/>
          <w:sz w:val="24"/>
          <w:szCs w:val="24"/>
        </w:rPr>
        <w:t xml:space="preserve">índices </w:t>
      </w:r>
      <w:r w:rsidR="00F83979" w:rsidRPr="0096792B">
        <w:rPr>
          <w:rFonts w:ascii="Times New Roman" w:hAnsi="Times New Roman" w:cs="Times New Roman"/>
          <w:sz w:val="24"/>
          <w:szCs w:val="24"/>
        </w:rPr>
        <w:t>de</w:t>
      </w:r>
      <w:r w:rsidRPr="0096792B">
        <w:rPr>
          <w:rFonts w:ascii="Times New Roman" w:hAnsi="Times New Roman" w:cs="Times New Roman"/>
          <w:sz w:val="24"/>
          <w:szCs w:val="24"/>
        </w:rPr>
        <w:t xml:space="preserve"> inovação organizacional. </w:t>
      </w:r>
      <w:r w:rsidR="00F83979" w:rsidRPr="0096792B">
        <w:rPr>
          <w:rFonts w:ascii="Times New Roman" w:hAnsi="Times New Roman" w:cs="Times New Roman"/>
          <w:sz w:val="24"/>
          <w:szCs w:val="24"/>
        </w:rPr>
        <w:t xml:space="preserve">Isso indica a </w:t>
      </w:r>
      <w:r w:rsidRPr="0096792B">
        <w:rPr>
          <w:rFonts w:ascii="Times New Roman" w:hAnsi="Times New Roman" w:cs="Times New Roman"/>
          <w:sz w:val="24"/>
          <w:szCs w:val="24"/>
        </w:rPr>
        <w:t xml:space="preserve">necessidade de maiores investimentos também em inovação organizacional como base ou sustentação para a realização de mais e diferentes inovações, melhorando assim o desempenho organizacional. </w:t>
      </w:r>
    </w:p>
    <w:p w:rsidR="007B3D02" w:rsidRPr="0096792B" w:rsidRDefault="00F8107F"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E o que dizer sobre os recursos humanos?</w:t>
      </w:r>
      <w:r w:rsidR="00125C8E" w:rsidRPr="0096792B">
        <w:rPr>
          <w:rFonts w:ascii="Times New Roman" w:hAnsi="Times New Roman" w:cs="Times New Roman"/>
          <w:sz w:val="24"/>
          <w:szCs w:val="24"/>
        </w:rPr>
        <w:t xml:space="preserve"> </w:t>
      </w:r>
      <w:r w:rsidRPr="0096792B">
        <w:rPr>
          <w:rFonts w:ascii="Times New Roman" w:hAnsi="Times New Roman" w:cs="Times New Roman"/>
          <w:sz w:val="24"/>
          <w:szCs w:val="24"/>
        </w:rPr>
        <w:t>Sobre a</w:t>
      </w:r>
      <w:r w:rsidR="00125C8E" w:rsidRPr="0096792B">
        <w:rPr>
          <w:rFonts w:ascii="Times New Roman" w:hAnsi="Times New Roman" w:cs="Times New Roman"/>
          <w:sz w:val="24"/>
          <w:szCs w:val="24"/>
        </w:rPr>
        <w:t>s</w:t>
      </w:r>
      <w:r w:rsidRPr="0096792B">
        <w:rPr>
          <w:rFonts w:ascii="Times New Roman" w:hAnsi="Times New Roman" w:cs="Times New Roman"/>
          <w:sz w:val="24"/>
          <w:szCs w:val="24"/>
        </w:rPr>
        <w:t xml:space="preserve"> equipe</w:t>
      </w:r>
      <w:r w:rsidR="00125C8E" w:rsidRPr="0096792B">
        <w:rPr>
          <w:rFonts w:ascii="Times New Roman" w:hAnsi="Times New Roman" w:cs="Times New Roman"/>
          <w:sz w:val="24"/>
          <w:szCs w:val="24"/>
        </w:rPr>
        <w:t>s</w:t>
      </w:r>
      <w:r w:rsidRPr="0096792B">
        <w:rPr>
          <w:rFonts w:ascii="Times New Roman" w:hAnsi="Times New Roman" w:cs="Times New Roman"/>
          <w:sz w:val="24"/>
          <w:szCs w:val="24"/>
        </w:rPr>
        <w:t xml:space="preserve"> de inovação, como apontado pela literatura da área, em termos de tamanho e características demográficas de seus membros, os dados revelam um tamanho reduzido, de até 3 pessoas na maioria das empresas. Em termos gerais, as equipes são compostas por sua grande maioria de homens, com idade menor que 45 anos, pós-graduados, com alguma atividade de formação nos últimos 10 anos e residentes em Minas Gerais. Esse perfil não se difere muito daqueles que são responsáveis pela inovação nas 44 empresas, já que são majoritariamente homens, pós-graduados, com alguma formação concluída nos últimos anos (2005-2015) e naturais de Belo Horizonte. Acrescenta-se a esses dados o fato dos responsáveis pela inovação serem executivos, diretores ou gerentes, com mais de 5 anos de experiência na empresa e não necessariamente com experiência prévia em inovação, antes de entrar na empresa. Aqueles que possuíam </w:t>
      </w:r>
      <w:r w:rsidRPr="0096792B">
        <w:rPr>
          <w:rFonts w:ascii="Times New Roman" w:hAnsi="Times New Roman" w:cs="Times New Roman"/>
          <w:sz w:val="24"/>
          <w:szCs w:val="24"/>
        </w:rPr>
        <w:lastRenderedPageBreak/>
        <w:t xml:space="preserve">experiência prévia em inovação, mais da metade tinham experiência de mais de 5 anos com inovação, ocupando cargos gerenciais ou superiores. Uma análise desses resultados aponta para a existência de fragilidades também quanto ao aspecto “pessoas”. </w:t>
      </w:r>
    </w:p>
    <w:p w:rsidR="007B3D02" w:rsidRPr="0096792B" w:rsidRDefault="00F8107F"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Afinal, as empresas não apresentam a diversidade suficiente para propiciar um ambiente participativo e criativo, necessários na inovação. Essa reflexão se sustenta na constatação de que homens, executivos, residentes locais têm liderado e produzido a inovação, quando na verdade poderiam estar trabalhando juntamente com profissionais de diferentes idades, sexo, formação, nível hierárquico e até residentes em outras cidades, estados ou países, auxiliando no processo criativo, desenvolvimento e implantação de inovações. Somados à diversidade, sustenta-se também a necessidade de desenvolvimento de políticas e práticas de gestão, como seleção, treinamento, remuneração, carreiras, capazes de potencializar a composição das equipes, bem como o desenvolvimento e o aprimoramento de competências.</w:t>
      </w:r>
    </w:p>
    <w:p w:rsidR="007B3D02" w:rsidRPr="0096792B" w:rsidRDefault="00F8107F"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Enfim, o que se buscou com esta pesqu</w:t>
      </w:r>
      <w:r w:rsidR="00226105">
        <w:rPr>
          <w:rFonts w:ascii="Times New Roman" w:hAnsi="Times New Roman" w:cs="Times New Roman"/>
          <w:sz w:val="24"/>
          <w:szCs w:val="24"/>
        </w:rPr>
        <w:t xml:space="preserve">isa foi um panorama </w:t>
      </w:r>
      <w:r w:rsidRPr="0096792B">
        <w:rPr>
          <w:rFonts w:ascii="Times New Roman" w:hAnsi="Times New Roman" w:cs="Times New Roman"/>
          <w:sz w:val="24"/>
          <w:szCs w:val="24"/>
        </w:rPr>
        <w:t>sobre a inovação em empresas mineiras de TI, indo além das variáveis avaliadas na PINTEC e contribuindo para a ampliação das análises teóricas e práticas relacionadas aos profissionais de TI, especialmente aqueles voltados para a inovação. Diante deste esforço foi perceptível um aumento na preocupação pela temática inovação e também a ocorrência de alguns investimentos principalmente estruturais, muito embora tais invest</w:t>
      </w:r>
      <w:r w:rsidR="00E0104E" w:rsidRPr="0096792B">
        <w:rPr>
          <w:rFonts w:ascii="Times New Roman" w:hAnsi="Times New Roman" w:cs="Times New Roman"/>
          <w:sz w:val="24"/>
          <w:szCs w:val="24"/>
        </w:rPr>
        <w:t>imentos pareça</w:t>
      </w:r>
      <w:r w:rsidRPr="0096792B">
        <w:rPr>
          <w:rFonts w:ascii="Times New Roman" w:hAnsi="Times New Roman" w:cs="Times New Roman"/>
          <w:sz w:val="24"/>
          <w:szCs w:val="24"/>
        </w:rPr>
        <w:t>m ocorrer em um panorama frágil quando analisadas as variáveis estrutura e gestão, processos e recursos humanos.</w:t>
      </w:r>
    </w:p>
    <w:p w:rsidR="00A43F53" w:rsidRPr="0096792B" w:rsidRDefault="00F8107F"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 xml:space="preserve">Diante disso, recomenda-se uma mudança de perspectiva aos gestores, profissionais e </w:t>
      </w:r>
      <w:r w:rsidRPr="0096792B">
        <w:rPr>
          <w:rFonts w:ascii="Times New Roman" w:hAnsi="Times New Roman" w:cs="Times New Roman"/>
          <w:sz w:val="24"/>
          <w:szCs w:val="24"/>
        </w:rPr>
        <w:lastRenderedPageBreak/>
        <w:t xml:space="preserve">acadêmicos que lidam com inovação, especialmente no setor pesquisado. Deve-se pensar a inovação de modo mais amplo, considerando as temáticas analisadas. Nesse sentido, este estudo </w:t>
      </w:r>
      <w:r w:rsidRPr="0096792B">
        <w:rPr>
          <w:rFonts w:ascii="Times New Roman" w:eastAsia="Times New Roman" w:hAnsi="Times New Roman" w:cs="Times New Roman"/>
          <w:sz w:val="24"/>
          <w:szCs w:val="24"/>
        </w:rPr>
        <w:t>também sinaliza aos atores dos sistemas de inovação novas possibilidades para o desenvolvimento de ações e estratégias voltadas ao apoio e fomento à inovação em Minas Gerais, buscando manter os pontos positivos e superar fragilidades, como as identificadas. Novas ações e estratégias poderiam ser desenvolvidas, por exemplo, para manter o alto nível de qualificação dos profissionais envolvidos com a inovação, ampliar a participação feminina nas equipes, permitir que a inovação vá além do núcleo estratégico, incluindo outras pessoas nos processos, dentre outros aspectos.</w:t>
      </w:r>
    </w:p>
    <w:p w:rsidR="007B3D02" w:rsidRPr="0096792B" w:rsidRDefault="00F8107F" w:rsidP="0096792B">
      <w:pPr>
        <w:widowControl w:val="0"/>
        <w:spacing w:after="240" w:line="480" w:lineRule="auto"/>
        <w:ind w:firstLine="708"/>
        <w:rPr>
          <w:rFonts w:ascii="Times New Roman" w:hAnsi="Times New Roman" w:cs="Times New Roman"/>
          <w:sz w:val="24"/>
          <w:szCs w:val="24"/>
        </w:rPr>
      </w:pPr>
      <w:r w:rsidRPr="0096792B">
        <w:rPr>
          <w:rFonts w:ascii="Times New Roman" w:hAnsi="Times New Roman" w:cs="Times New Roman"/>
          <w:sz w:val="24"/>
          <w:szCs w:val="24"/>
        </w:rPr>
        <w:t xml:space="preserve">Estudos futuros sobre inovação no setor analisado podem aprofundar nas questões ligadas a gênero, gestão de micro e pequenas empresas, gestão de competências, vínculos de trabalho, recursos humanos, dentre outras temáticas. </w:t>
      </w:r>
      <w:bookmarkStart w:id="4" w:name="_Hlk512628534"/>
      <w:r w:rsidR="00B772DE">
        <w:rPr>
          <w:rFonts w:ascii="Times New Roman" w:hAnsi="Times New Roman" w:cs="Times New Roman"/>
          <w:sz w:val="24"/>
          <w:szCs w:val="24"/>
        </w:rPr>
        <w:t xml:space="preserve">Ainda, com relação às categorias de análise sugeridas neste estudo, sugere-se a coleta de </w:t>
      </w:r>
      <w:r w:rsidR="00B772DE" w:rsidRPr="00B772DE">
        <w:rPr>
          <w:rFonts w:ascii="Times New Roman" w:hAnsi="Times New Roman" w:cs="Times New Roman"/>
          <w:sz w:val="24"/>
          <w:szCs w:val="24"/>
        </w:rPr>
        <w:t xml:space="preserve">dados qualitativos interessantes </w:t>
      </w:r>
      <w:r w:rsidR="00B772DE">
        <w:rPr>
          <w:rFonts w:ascii="Times New Roman" w:hAnsi="Times New Roman" w:cs="Times New Roman"/>
          <w:sz w:val="24"/>
          <w:szCs w:val="24"/>
        </w:rPr>
        <w:t xml:space="preserve">para </w:t>
      </w:r>
      <w:r w:rsidR="00B772DE" w:rsidRPr="00B772DE">
        <w:rPr>
          <w:rFonts w:ascii="Times New Roman" w:hAnsi="Times New Roman" w:cs="Times New Roman"/>
          <w:sz w:val="24"/>
          <w:szCs w:val="24"/>
        </w:rPr>
        <w:t>auxiliar a interpretação quantitativa</w:t>
      </w:r>
      <w:r w:rsidR="00912132">
        <w:rPr>
          <w:rFonts w:ascii="Times New Roman" w:hAnsi="Times New Roman" w:cs="Times New Roman"/>
          <w:sz w:val="24"/>
          <w:szCs w:val="24"/>
        </w:rPr>
        <w:t xml:space="preserve"> à luz da </w:t>
      </w:r>
      <w:r w:rsidR="00B772DE" w:rsidRPr="00B772DE">
        <w:rPr>
          <w:rFonts w:ascii="Times New Roman" w:hAnsi="Times New Roman" w:cs="Times New Roman"/>
          <w:sz w:val="24"/>
          <w:szCs w:val="24"/>
        </w:rPr>
        <w:t xml:space="preserve">teoria </w:t>
      </w:r>
      <w:r w:rsidR="00912132">
        <w:rPr>
          <w:rFonts w:ascii="Times New Roman" w:hAnsi="Times New Roman" w:cs="Times New Roman"/>
          <w:sz w:val="24"/>
          <w:szCs w:val="24"/>
        </w:rPr>
        <w:t xml:space="preserve">sobre inovação em serviços intensivos em conhecimentos. </w:t>
      </w:r>
      <w:bookmarkEnd w:id="4"/>
      <w:r w:rsidRPr="0096792B">
        <w:rPr>
          <w:rFonts w:ascii="Times New Roman" w:hAnsi="Times New Roman" w:cs="Times New Roman"/>
          <w:sz w:val="24"/>
          <w:szCs w:val="24"/>
        </w:rPr>
        <w:t>Neste momento, espera-se que os resultados desse estudo possam chamar a atenção para a necessidade de se enxergar de modo diferenciado a dinâmica da inovação nos SICs.</w:t>
      </w:r>
    </w:p>
    <w:p w:rsidR="00B361F2" w:rsidRPr="00AB0DD7" w:rsidRDefault="00B361F2" w:rsidP="0096792B">
      <w:pPr>
        <w:pStyle w:val="Ttulo1"/>
        <w:keepNext w:val="0"/>
        <w:keepLines w:val="0"/>
        <w:widowControl w:val="0"/>
        <w:spacing w:after="240" w:line="480" w:lineRule="auto"/>
        <w:rPr>
          <w:caps w:val="0"/>
          <w:lang w:val="pt-BR"/>
        </w:rPr>
        <w:sectPr w:rsidR="00B361F2" w:rsidRPr="00AB0DD7" w:rsidSect="00586BB1">
          <w:footerReference w:type="default" r:id="rId14"/>
          <w:type w:val="continuous"/>
          <w:pgSz w:w="11906" w:h="16838" w:code="9"/>
          <w:pgMar w:top="1418" w:right="1418" w:bottom="1418" w:left="1418" w:header="709" w:footer="709" w:gutter="0"/>
          <w:cols w:space="708"/>
          <w:docGrid w:linePitch="360"/>
        </w:sectPr>
      </w:pPr>
    </w:p>
    <w:p w:rsidR="00957743" w:rsidRPr="00AB0DD7" w:rsidRDefault="00957743">
      <w:pPr>
        <w:rPr>
          <w:rFonts w:ascii="Times New Roman" w:eastAsia="Times New Roman" w:hAnsi="Times New Roman" w:cs="Times New Roman"/>
          <w:b/>
          <w:bCs/>
          <w:sz w:val="24"/>
          <w:szCs w:val="24"/>
        </w:rPr>
      </w:pPr>
      <w:r>
        <w:rPr>
          <w:caps/>
        </w:rPr>
        <w:lastRenderedPageBreak/>
        <w:br w:type="page"/>
      </w:r>
    </w:p>
    <w:p w:rsidR="007B3D02" w:rsidRPr="00AB0DD7" w:rsidRDefault="005C0C8A" w:rsidP="0096792B">
      <w:pPr>
        <w:pStyle w:val="Ttulo1"/>
        <w:keepNext w:val="0"/>
        <w:keepLines w:val="0"/>
        <w:widowControl w:val="0"/>
        <w:spacing w:after="240" w:line="480" w:lineRule="auto"/>
        <w:rPr>
          <w:caps w:val="0"/>
        </w:rPr>
      </w:pPr>
      <w:r w:rsidRPr="00AB0DD7">
        <w:rPr>
          <w:caps w:val="0"/>
        </w:rPr>
        <w:lastRenderedPageBreak/>
        <w:t>6</w:t>
      </w:r>
      <w:r w:rsidR="007B3D02" w:rsidRPr="00AB0DD7">
        <w:rPr>
          <w:caps w:val="0"/>
        </w:rPr>
        <w:t>. Referências</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rPr>
        <w:t xml:space="preserve">ANDERSON, N.; POTOČNIK, K.; ZHOU, J. Innovation and Creativity in Organizations: A State-of-the-Science Review, Prospective Commentary, and Guiding Framework. </w:t>
      </w:r>
      <w:r w:rsidRPr="0096792B">
        <w:rPr>
          <w:rFonts w:ascii="Times New Roman" w:hAnsi="Times New Roman" w:cs="Times New Roman"/>
          <w:b/>
          <w:sz w:val="24"/>
          <w:szCs w:val="24"/>
        </w:rPr>
        <w:t xml:space="preserve">Journal of Management, </w:t>
      </w:r>
      <w:r w:rsidRPr="0096792B">
        <w:rPr>
          <w:rFonts w:ascii="Times New Roman" w:hAnsi="Times New Roman" w:cs="Times New Roman"/>
          <w:sz w:val="24"/>
          <w:szCs w:val="24"/>
        </w:rPr>
        <w:t xml:space="preserve">v. 40, n. 5, p. 1297-1333,  2014.  </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rPr>
        <w:t xml:space="preserve">BARBOSA, A. C. Q.  </w:t>
      </w:r>
      <w:r w:rsidRPr="0096792B">
        <w:rPr>
          <w:rFonts w:ascii="Times New Roman" w:hAnsi="Times New Roman" w:cs="Times New Roman"/>
          <w:i/>
          <w:sz w:val="24"/>
          <w:szCs w:val="24"/>
          <w:lang w:val="pt-BR"/>
        </w:rPr>
        <w:t>et al.</w:t>
      </w:r>
      <w:r w:rsidRPr="0096792B">
        <w:rPr>
          <w:rFonts w:ascii="Times New Roman" w:hAnsi="Times New Roman" w:cs="Times New Roman"/>
          <w:sz w:val="24"/>
          <w:szCs w:val="24"/>
          <w:lang w:val="pt-BR"/>
        </w:rPr>
        <w:t xml:space="preserve"> Inovações tecnológicas e organizacionais em serviços intensivos em conhecimento: uma análise comparativa entre Brasil e Portugal. </w:t>
      </w:r>
      <w:r w:rsidRPr="0096792B">
        <w:rPr>
          <w:rFonts w:ascii="Times New Roman" w:hAnsi="Times New Roman" w:cs="Times New Roman"/>
          <w:sz w:val="24"/>
          <w:szCs w:val="24"/>
        </w:rPr>
        <w:t>In: BARBOSA, A. C. Q.;</w:t>
      </w:r>
      <w:r w:rsidR="008C66E9">
        <w:rPr>
          <w:rFonts w:ascii="Times New Roman" w:hAnsi="Times New Roman" w:cs="Times New Roman"/>
          <w:sz w:val="24"/>
          <w:szCs w:val="24"/>
        </w:rPr>
        <w:t xml:space="preserve"> </w:t>
      </w:r>
      <w:r w:rsidRPr="0096792B">
        <w:rPr>
          <w:rFonts w:ascii="Times New Roman" w:hAnsi="Times New Roman" w:cs="Times New Roman"/>
          <w:sz w:val="24"/>
          <w:szCs w:val="24"/>
        </w:rPr>
        <w:t>BITENCOURT, C. C.</w:t>
      </w:r>
      <w:r w:rsidRPr="0096792B">
        <w:rPr>
          <w:rFonts w:ascii="Times New Roman" w:hAnsi="Times New Roman" w:cs="Times New Roman"/>
          <w:i/>
          <w:sz w:val="24"/>
          <w:szCs w:val="24"/>
        </w:rPr>
        <w:t>, et al</w:t>
      </w:r>
      <w:r w:rsidRPr="0096792B">
        <w:rPr>
          <w:rFonts w:ascii="Times New Roman" w:hAnsi="Times New Roman" w:cs="Times New Roman"/>
          <w:sz w:val="24"/>
          <w:szCs w:val="24"/>
        </w:rPr>
        <w:t xml:space="preserve"> (Ed.). </w:t>
      </w:r>
      <w:r w:rsidRPr="0096792B">
        <w:rPr>
          <w:rFonts w:ascii="Times New Roman" w:hAnsi="Times New Roman" w:cs="Times New Roman"/>
          <w:b/>
          <w:sz w:val="24"/>
          <w:szCs w:val="24"/>
          <w:lang w:val="pt-BR"/>
        </w:rPr>
        <w:t>Inovação, Conhecimento e Tecnologia. Uma Perspectiva Luso-Brasileira</w:t>
      </w:r>
      <w:r w:rsidRPr="0096792B">
        <w:rPr>
          <w:rFonts w:ascii="Times New Roman" w:hAnsi="Times New Roman" w:cs="Times New Roman"/>
          <w:sz w:val="24"/>
          <w:szCs w:val="24"/>
          <w:lang w:val="pt-BR"/>
        </w:rPr>
        <w:t xml:space="preserve">. Lisboa: Edições Colibri, 2015.  </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lang w:val="pt-BR"/>
        </w:rPr>
        <w:t>BERNARDES, R.; KALLUP, A. A Emergência dos Serviços Intensivos em Conhecimento no Brasil. In: BERNARDES, R. e ANDREASSI, T. (Ed.).</w:t>
      </w:r>
      <w:r w:rsidRPr="0096792B">
        <w:rPr>
          <w:rFonts w:ascii="Times New Roman" w:hAnsi="Times New Roman" w:cs="Times New Roman"/>
          <w:b/>
          <w:sz w:val="24"/>
          <w:szCs w:val="24"/>
          <w:lang w:val="pt-BR"/>
        </w:rPr>
        <w:t xml:space="preserve"> Inovação em Serviços Intensivos em Conhecimento</w:t>
      </w:r>
      <w:r w:rsidRPr="0096792B">
        <w:rPr>
          <w:rFonts w:ascii="Times New Roman" w:hAnsi="Times New Roman" w:cs="Times New Roman"/>
          <w:sz w:val="24"/>
          <w:szCs w:val="24"/>
          <w:lang w:val="pt-BR"/>
        </w:rPr>
        <w:t xml:space="preserve">. São Paulo: Saraiva, 2007.  </w:t>
      </w:r>
    </w:p>
    <w:p w:rsidR="007C7892"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lang w:val="pt-BR"/>
        </w:rPr>
        <w:t xml:space="preserve">BIGNETTI, L. P. O processo de inovação em empresas intensivas em conhecimento. </w:t>
      </w:r>
      <w:r w:rsidRPr="0096792B">
        <w:rPr>
          <w:rFonts w:ascii="Times New Roman" w:hAnsi="Times New Roman" w:cs="Times New Roman"/>
          <w:b/>
          <w:sz w:val="24"/>
          <w:szCs w:val="24"/>
          <w:lang w:val="pt-BR"/>
        </w:rPr>
        <w:t xml:space="preserve">Revista de Administração Contemporânea, </w:t>
      </w:r>
      <w:r w:rsidRPr="0096792B">
        <w:rPr>
          <w:rFonts w:ascii="Times New Roman" w:hAnsi="Times New Roman" w:cs="Times New Roman"/>
          <w:sz w:val="24"/>
          <w:szCs w:val="24"/>
          <w:lang w:val="pt-BR"/>
        </w:rPr>
        <w:t>v. 6, n. 3, p. 33-53, 2002.</w:t>
      </w:r>
    </w:p>
    <w:p w:rsidR="00BE12B8" w:rsidRPr="0096792B" w:rsidRDefault="00BE12B8" w:rsidP="00620EF8">
      <w:pPr>
        <w:pStyle w:val="EndNoteBibliography"/>
        <w:widowControl w:val="0"/>
        <w:spacing w:after="240" w:line="480" w:lineRule="auto"/>
        <w:jc w:val="left"/>
        <w:rPr>
          <w:rFonts w:ascii="Times New Roman" w:hAnsi="Times New Roman" w:cs="Times New Roman"/>
          <w:sz w:val="24"/>
          <w:szCs w:val="24"/>
          <w:lang w:val="pt-BR"/>
        </w:rPr>
      </w:pPr>
      <w:r w:rsidRPr="00BE12B8">
        <w:rPr>
          <w:rFonts w:ascii="Times New Roman" w:hAnsi="Times New Roman" w:cs="Times New Roman"/>
          <w:sz w:val="24"/>
          <w:szCs w:val="24"/>
          <w:lang w:val="pt-BR"/>
        </w:rPr>
        <w:t xml:space="preserve">BIGONHA, R. S. </w:t>
      </w:r>
      <w:r w:rsidRPr="00BE12B8">
        <w:rPr>
          <w:rFonts w:ascii="Times New Roman" w:hAnsi="Times New Roman" w:cs="Times New Roman"/>
          <w:b/>
          <w:sz w:val="24"/>
          <w:szCs w:val="24"/>
          <w:lang w:val="pt-BR"/>
        </w:rPr>
        <w:t>Efemérides da regulamentação</w:t>
      </w:r>
      <w:r w:rsidRPr="00BE12B8">
        <w:rPr>
          <w:rFonts w:ascii="Times New Roman" w:hAnsi="Times New Roman" w:cs="Times New Roman"/>
          <w:sz w:val="24"/>
          <w:szCs w:val="24"/>
          <w:lang w:val="pt-BR"/>
        </w:rPr>
        <w:t>.</w:t>
      </w:r>
      <w:r>
        <w:rPr>
          <w:rFonts w:ascii="Times New Roman" w:hAnsi="Times New Roman" w:cs="Times New Roman"/>
          <w:sz w:val="24"/>
          <w:szCs w:val="24"/>
          <w:lang w:val="pt-BR"/>
        </w:rPr>
        <w:t xml:space="preserve"> </w:t>
      </w:r>
      <w:r w:rsidRPr="00BE12B8">
        <w:rPr>
          <w:rFonts w:ascii="Times New Roman" w:hAnsi="Times New Roman" w:cs="Times New Roman"/>
          <w:sz w:val="24"/>
          <w:szCs w:val="24"/>
          <w:lang w:val="pt-BR"/>
        </w:rPr>
        <w:t>Porto Alegre</w:t>
      </w:r>
      <w:r>
        <w:rPr>
          <w:rFonts w:ascii="Times New Roman" w:hAnsi="Times New Roman" w:cs="Times New Roman"/>
          <w:sz w:val="24"/>
          <w:szCs w:val="24"/>
          <w:lang w:val="pt-BR"/>
        </w:rPr>
        <w:t xml:space="preserve">: </w:t>
      </w:r>
      <w:r w:rsidRPr="00BE12B8">
        <w:rPr>
          <w:rFonts w:ascii="Times New Roman" w:hAnsi="Times New Roman" w:cs="Times New Roman"/>
          <w:sz w:val="24"/>
          <w:szCs w:val="24"/>
          <w:lang w:val="pt-BR"/>
        </w:rPr>
        <w:t>Sociedade Brasileira da Computação, 2016.</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lang w:val="pt-BR"/>
        </w:rPr>
        <w:t xml:space="preserve">BURGELMAN, R. A.; CHRISTENSEN, C. M.; WHEELWRIGHT, S. C. </w:t>
      </w:r>
      <w:r w:rsidRPr="0096792B">
        <w:rPr>
          <w:rFonts w:ascii="Times New Roman" w:hAnsi="Times New Roman" w:cs="Times New Roman"/>
          <w:b/>
          <w:sz w:val="24"/>
          <w:szCs w:val="24"/>
          <w:lang w:val="pt-BR"/>
        </w:rPr>
        <w:t>Gestão Estratégica da Tecnologia e da Inovação</w:t>
      </w:r>
      <w:r w:rsidRPr="0096792B">
        <w:rPr>
          <w:rFonts w:ascii="Times New Roman" w:hAnsi="Times New Roman" w:cs="Times New Roman"/>
          <w:sz w:val="24"/>
          <w:szCs w:val="24"/>
          <w:lang w:val="pt-BR"/>
        </w:rPr>
        <w:t>.  Porto Alegre: McGraw-Hill, 2012.</w:t>
      </w:r>
    </w:p>
    <w:p w:rsidR="007C7892" w:rsidRPr="006E62B9"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lang w:val="pt-BR"/>
        </w:rPr>
        <w:t xml:space="preserve">CALABRIA, P.  </w:t>
      </w:r>
      <w:r w:rsidRPr="0096792B">
        <w:rPr>
          <w:rFonts w:ascii="Times New Roman" w:hAnsi="Times New Roman" w:cs="Times New Roman"/>
          <w:i/>
          <w:sz w:val="24"/>
          <w:szCs w:val="24"/>
          <w:lang w:val="pt-BR"/>
        </w:rPr>
        <w:t>et al.</w:t>
      </w:r>
      <w:r w:rsidRPr="0096792B">
        <w:rPr>
          <w:rFonts w:ascii="Times New Roman" w:hAnsi="Times New Roman" w:cs="Times New Roman"/>
          <w:sz w:val="24"/>
          <w:szCs w:val="24"/>
          <w:lang w:val="pt-BR"/>
        </w:rPr>
        <w:t xml:space="preserve"> A Ciência da Inovação em Serviços: Estudo Exploratório sobre os Interesses e Prioridades para uma Agenda de Pesquisa no Brasil. </w:t>
      </w:r>
      <w:r w:rsidRPr="006E62B9">
        <w:rPr>
          <w:rFonts w:ascii="Times New Roman" w:hAnsi="Times New Roman" w:cs="Times New Roman"/>
          <w:b/>
          <w:sz w:val="24"/>
          <w:szCs w:val="24"/>
          <w:lang w:val="pt-BR"/>
        </w:rPr>
        <w:t xml:space="preserve">Review of Administration and Innovation - RAI, </w:t>
      </w:r>
      <w:r w:rsidRPr="006E62B9">
        <w:rPr>
          <w:rFonts w:ascii="Times New Roman" w:hAnsi="Times New Roman" w:cs="Times New Roman"/>
          <w:sz w:val="24"/>
          <w:szCs w:val="24"/>
          <w:lang w:val="pt-BR"/>
        </w:rPr>
        <w:t xml:space="preserve">v. 10, n. 4, p. 110,  2014.  </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lang w:val="pt-BR"/>
        </w:rPr>
        <w:lastRenderedPageBreak/>
        <w:t xml:space="preserve">CASTRO, B. G. </w:t>
      </w:r>
      <w:r w:rsidRPr="0096792B">
        <w:rPr>
          <w:rFonts w:ascii="Times New Roman" w:hAnsi="Times New Roman" w:cs="Times New Roman"/>
          <w:b/>
          <w:sz w:val="24"/>
          <w:szCs w:val="24"/>
          <w:lang w:val="pt-BR"/>
        </w:rPr>
        <w:t>Afogados em contratos</w:t>
      </w:r>
      <w:r w:rsidRPr="0096792B">
        <w:rPr>
          <w:rFonts w:ascii="Times New Roman" w:hAnsi="Times New Roman" w:cs="Times New Roman"/>
          <w:sz w:val="24"/>
          <w:szCs w:val="24"/>
          <w:lang w:val="pt-BR"/>
        </w:rPr>
        <w:t>: o impacto da flexibilização do trabalho nas trajetórias dos profissionais de TI. 2013. 388f. Tese (Doutorado em Ciências Sociais) - Instituto de Filosofia e Ciências Humanas, Unicamp, Campinas. 2013.</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lang w:val="pt-BR"/>
        </w:rPr>
        <w:t xml:space="preserve">COOPER, D. R.; SCHINDLER, P. S. </w:t>
      </w:r>
      <w:r w:rsidRPr="0096792B">
        <w:rPr>
          <w:rFonts w:ascii="Times New Roman" w:hAnsi="Times New Roman" w:cs="Times New Roman"/>
          <w:b/>
          <w:sz w:val="24"/>
          <w:szCs w:val="24"/>
          <w:lang w:val="pt-BR"/>
        </w:rPr>
        <w:t>Métodos de Pesquisa em Administração</w:t>
      </w:r>
      <w:r w:rsidRPr="0096792B">
        <w:rPr>
          <w:rFonts w:ascii="Times New Roman" w:hAnsi="Times New Roman" w:cs="Times New Roman"/>
          <w:sz w:val="24"/>
          <w:szCs w:val="24"/>
          <w:lang w:val="pt-BR"/>
        </w:rPr>
        <w:t xml:space="preserve">. </w:t>
      </w:r>
      <w:r w:rsidRPr="0096792B">
        <w:rPr>
          <w:rFonts w:ascii="Times New Roman" w:hAnsi="Times New Roman" w:cs="Times New Roman"/>
          <w:sz w:val="24"/>
          <w:szCs w:val="24"/>
        </w:rPr>
        <w:t>7.ed. Porto Alegre: Bookman, 2003.</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rPr>
        <w:t xml:space="preserve">DAMANPOUR, F. Footnotes to Research on Management Innovation. </w:t>
      </w:r>
      <w:r w:rsidRPr="0096792B">
        <w:rPr>
          <w:rFonts w:ascii="Times New Roman" w:hAnsi="Times New Roman" w:cs="Times New Roman"/>
          <w:b/>
          <w:sz w:val="24"/>
          <w:szCs w:val="24"/>
        </w:rPr>
        <w:t xml:space="preserve">Organization Studies, </w:t>
      </w:r>
      <w:r w:rsidRPr="0096792B">
        <w:rPr>
          <w:rFonts w:ascii="Times New Roman" w:hAnsi="Times New Roman" w:cs="Times New Roman"/>
          <w:sz w:val="24"/>
          <w:szCs w:val="24"/>
        </w:rPr>
        <w:t xml:space="preserve">v. 35, n. 9, p. 1265-1285,  2014.  </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rPr>
        <w:t xml:space="preserve">DAMANPOUR, F.; WALKER, R. M.; AVELLANEDA, C. N. Combinative Effects of Innovation Types and Organizational Performance: A Longitudinal Study of Service Organizations. </w:t>
      </w:r>
      <w:r w:rsidRPr="0096792B">
        <w:rPr>
          <w:rFonts w:ascii="Times New Roman" w:hAnsi="Times New Roman" w:cs="Times New Roman"/>
          <w:b/>
          <w:sz w:val="24"/>
          <w:szCs w:val="24"/>
        </w:rPr>
        <w:t xml:space="preserve">Journal of Management Studies, </w:t>
      </w:r>
      <w:r w:rsidRPr="0096792B">
        <w:rPr>
          <w:rFonts w:ascii="Times New Roman" w:hAnsi="Times New Roman" w:cs="Times New Roman"/>
          <w:sz w:val="24"/>
          <w:szCs w:val="24"/>
        </w:rPr>
        <w:t xml:space="preserve">v. 46, n. 4, p. 650-675,  2009.  </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rPr>
        <w:t xml:space="preserve">DENIZOT, A. E. R.. </w:t>
      </w:r>
      <w:r w:rsidRPr="0096792B">
        <w:rPr>
          <w:rFonts w:ascii="Times New Roman" w:hAnsi="Times New Roman" w:cs="Times New Roman"/>
          <w:sz w:val="24"/>
          <w:szCs w:val="24"/>
          <w:lang w:val="pt-BR"/>
        </w:rPr>
        <w:t xml:space="preserve">As pequenas empresas de Tecnologia da Informação e Comunicação do Estado do Rio de Janeiro à luz do radar da inovação: identificação e análise dos principais obstáculos para os processos de inovação. </w:t>
      </w:r>
      <w:r w:rsidRPr="0096792B">
        <w:rPr>
          <w:rFonts w:ascii="Times New Roman" w:hAnsi="Times New Roman" w:cs="Times New Roman"/>
          <w:b/>
          <w:sz w:val="24"/>
          <w:szCs w:val="24"/>
        </w:rPr>
        <w:t>Sistemas &amp; Gestão</w:t>
      </w:r>
      <w:r w:rsidRPr="0096792B">
        <w:rPr>
          <w:rFonts w:ascii="Times New Roman" w:hAnsi="Times New Roman" w:cs="Times New Roman"/>
          <w:i/>
          <w:sz w:val="24"/>
          <w:szCs w:val="24"/>
        </w:rPr>
        <w:t>,</w:t>
      </w:r>
      <w:r w:rsidRPr="0096792B">
        <w:rPr>
          <w:rFonts w:ascii="Times New Roman" w:hAnsi="Times New Roman" w:cs="Times New Roman"/>
          <w:sz w:val="24"/>
          <w:szCs w:val="24"/>
        </w:rPr>
        <w:t>v.</w:t>
      </w:r>
      <w:r w:rsidRPr="0096792B">
        <w:rPr>
          <w:rFonts w:ascii="Times New Roman" w:hAnsi="Times New Roman" w:cs="Times New Roman"/>
          <w:i/>
          <w:sz w:val="24"/>
          <w:szCs w:val="24"/>
        </w:rPr>
        <w:t xml:space="preserve"> </w:t>
      </w:r>
      <w:r w:rsidRPr="0096792B">
        <w:rPr>
          <w:rFonts w:ascii="Times New Roman" w:hAnsi="Times New Roman" w:cs="Times New Roman"/>
          <w:sz w:val="24"/>
          <w:szCs w:val="24"/>
        </w:rPr>
        <w:t>9, n. 3, p. 394-405, 2014.</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rPr>
        <w:t xml:space="preserve">DODGSON, M.; GANN, D. M.; PHILLIPS, N. </w:t>
      </w:r>
      <w:r w:rsidRPr="0096792B">
        <w:rPr>
          <w:rFonts w:ascii="Times New Roman" w:hAnsi="Times New Roman" w:cs="Times New Roman"/>
          <w:b/>
          <w:sz w:val="24"/>
          <w:szCs w:val="24"/>
        </w:rPr>
        <w:t>The Oxford Handbook of Innovation Management</w:t>
      </w:r>
      <w:r w:rsidRPr="0096792B">
        <w:rPr>
          <w:rFonts w:ascii="Times New Roman" w:hAnsi="Times New Roman" w:cs="Times New Roman"/>
          <w:sz w:val="24"/>
          <w:szCs w:val="24"/>
        </w:rPr>
        <w:t>.  Oxford: Oxford University Press, 2014.</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rPr>
        <w:t xml:space="preserve">DOSI, G.; NELSON, R. R.; WINTER, S. </w:t>
      </w:r>
      <w:r w:rsidRPr="0096792B">
        <w:rPr>
          <w:rFonts w:ascii="Times New Roman" w:hAnsi="Times New Roman" w:cs="Times New Roman"/>
          <w:b/>
          <w:sz w:val="24"/>
          <w:szCs w:val="24"/>
        </w:rPr>
        <w:t>The Nature and Dynamics of Organizational Capabilities</w:t>
      </w:r>
      <w:r w:rsidRPr="0096792B">
        <w:rPr>
          <w:rFonts w:ascii="Times New Roman" w:hAnsi="Times New Roman" w:cs="Times New Roman"/>
          <w:sz w:val="24"/>
          <w:szCs w:val="24"/>
        </w:rPr>
        <w:t>.  Oxford: Oxford University Press, 2001.</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rPr>
        <w:t xml:space="preserve">EVANGELISTA, R. Innovation in the European service industries. </w:t>
      </w:r>
      <w:r w:rsidRPr="0096792B">
        <w:rPr>
          <w:rFonts w:ascii="Times New Roman" w:hAnsi="Times New Roman" w:cs="Times New Roman"/>
          <w:b/>
          <w:sz w:val="24"/>
          <w:szCs w:val="24"/>
        </w:rPr>
        <w:t xml:space="preserve">Science and Public Policy, </w:t>
      </w:r>
      <w:r w:rsidRPr="0096792B">
        <w:rPr>
          <w:rFonts w:ascii="Times New Roman" w:hAnsi="Times New Roman" w:cs="Times New Roman"/>
          <w:sz w:val="24"/>
          <w:szCs w:val="24"/>
        </w:rPr>
        <w:t xml:space="preserve">v. 33, n. 9, p. 653-668,  2006.  </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rPr>
        <w:t xml:space="preserve">FAGERBERG, J.; MARTIN, B. R.; ANDERSEN, E. S. </w:t>
      </w:r>
      <w:r w:rsidRPr="0096792B">
        <w:rPr>
          <w:rFonts w:ascii="Times New Roman" w:hAnsi="Times New Roman" w:cs="Times New Roman"/>
          <w:b/>
          <w:sz w:val="24"/>
          <w:szCs w:val="24"/>
        </w:rPr>
        <w:t xml:space="preserve">Innovation Studies: Evolution and </w:t>
      </w:r>
      <w:r w:rsidRPr="0096792B">
        <w:rPr>
          <w:rFonts w:ascii="Times New Roman" w:hAnsi="Times New Roman" w:cs="Times New Roman"/>
          <w:b/>
          <w:sz w:val="24"/>
          <w:szCs w:val="24"/>
        </w:rPr>
        <w:lastRenderedPageBreak/>
        <w:t>Future Challenges</w:t>
      </w:r>
      <w:r w:rsidRPr="0096792B">
        <w:rPr>
          <w:rFonts w:ascii="Times New Roman" w:hAnsi="Times New Roman" w:cs="Times New Roman"/>
          <w:sz w:val="24"/>
          <w:szCs w:val="24"/>
        </w:rPr>
        <w:t xml:space="preserve">.  </w:t>
      </w:r>
      <w:r w:rsidRPr="0096792B">
        <w:rPr>
          <w:rFonts w:ascii="Times New Roman" w:hAnsi="Times New Roman" w:cs="Times New Roman"/>
          <w:sz w:val="24"/>
          <w:szCs w:val="24"/>
          <w:lang w:val="pt-BR"/>
        </w:rPr>
        <w:t>Oxford: Oxford University Press, 2013.</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lang w:val="pt-BR"/>
        </w:rPr>
        <w:t xml:space="preserve">FIGUEIREDO, P. N. Capacidade Tecnológica e Inovação em Organizações de Serviços Intensivos em Conhecimento: evidências de institutos de pesquisa em Tecnologias da Informação e da Comunicação (TICs) no Brasil. </w:t>
      </w:r>
      <w:r w:rsidRPr="0096792B">
        <w:rPr>
          <w:rFonts w:ascii="Times New Roman" w:hAnsi="Times New Roman" w:cs="Times New Roman"/>
          <w:b/>
          <w:sz w:val="24"/>
          <w:szCs w:val="24"/>
          <w:lang w:val="pt-BR"/>
        </w:rPr>
        <w:t xml:space="preserve">Revista Brasileira de Inovação, </w:t>
      </w:r>
      <w:r w:rsidRPr="0096792B">
        <w:rPr>
          <w:rFonts w:ascii="Times New Roman" w:hAnsi="Times New Roman" w:cs="Times New Roman"/>
          <w:sz w:val="24"/>
          <w:szCs w:val="24"/>
          <w:lang w:val="pt-BR"/>
        </w:rPr>
        <w:t xml:space="preserve">v. 5, n. 2 jul/dez, p. 403-454,  2009.  </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6E62B9">
        <w:rPr>
          <w:rFonts w:ascii="Times New Roman" w:hAnsi="Times New Roman" w:cs="Times New Roman"/>
          <w:sz w:val="24"/>
          <w:szCs w:val="24"/>
          <w:lang w:val="pt-BR"/>
        </w:rPr>
        <w:t xml:space="preserve">FOWLER JR, F. J. </w:t>
      </w:r>
      <w:r w:rsidRPr="006E62B9">
        <w:rPr>
          <w:rFonts w:ascii="Times New Roman" w:hAnsi="Times New Roman" w:cs="Times New Roman"/>
          <w:b/>
          <w:sz w:val="24"/>
          <w:szCs w:val="24"/>
          <w:lang w:val="pt-BR"/>
        </w:rPr>
        <w:t>Survey Research Methods</w:t>
      </w:r>
      <w:r w:rsidRPr="006E62B9">
        <w:rPr>
          <w:rFonts w:ascii="Times New Roman" w:hAnsi="Times New Roman" w:cs="Times New Roman"/>
          <w:sz w:val="24"/>
          <w:szCs w:val="24"/>
          <w:lang w:val="pt-BR"/>
        </w:rPr>
        <w:t xml:space="preserve">. </w:t>
      </w:r>
      <w:r w:rsidRPr="0096792B">
        <w:rPr>
          <w:rFonts w:ascii="Times New Roman" w:hAnsi="Times New Roman" w:cs="Times New Roman"/>
          <w:sz w:val="24"/>
          <w:szCs w:val="24"/>
        </w:rPr>
        <w:t>Thousand Oaks: Sage publications, 2009.</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rPr>
        <w:t>FRANZ, H.-W.; HOCHGERNER, J.; HOWALDT, J. Challenge Social Innovation: An Introduction. In: FRANZ, H.-W.;</w:t>
      </w:r>
      <w:r w:rsidR="0089673C" w:rsidRPr="0096792B">
        <w:rPr>
          <w:rFonts w:ascii="Times New Roman" w:hAnsi="Times New Roman" w:cs="Times New Roman"/>
          <w:sz w:val="24"/>
          <w:szCs w:val="24"/>
        </w:rPr>
        <w:t xml:space="preserve"> </w:t>
      </w:r>
      <w:r w:rsidRPr="0096792B">
        <w:rPr>
          <w:rFonts w:ascii="Times New Roman" w:hAnsi="Times New Roman" w:cs="Times New Roman"/>
          <w:sz w:val="24"/>
          <w:szCs w:val="24"/>
        </w:rPr>
        <w:t>HOCHGERNER, J.</w:t>
      </w:r>
      <w:r w:rsidRPr="0096792B">
        <w:rPr>
          <w:rFonts w:ascii="Times New Roman" w:hAnsi="Times New Roman" w:cs="Times New Roman"/>
          <w:i/>
          <w:sz w:val="24"/>
          <w:szCs w:val="24"/>
        </w:rPr>
        <w:t>, et al</w:t>
      </w:r>
      <w:r w:rsidRPr="0096792B">
        <w:rPr>
          <w:rFonts w:ascii="Times New Roman" w:hAnsi="Times New Roman" w:cs="Times New Roman"/>
          <w:sz w:val="24"/>
          <w:szCs w:val="24"/>
        </w:rPr>
        <w:t xml:space="preserve"> (Ed.). </w:t>
      </w:r>
      <w:r w:rsidRPr="0096792B">
        <w:rPr>
          <w:rFonts w:ascii="Times New Roman" w:hAnsi="Times New Roman" w:cs="Times New Roman"/>
          <w:b/>
          <w:sz w:val="24"/>
          <w:szCs w:val="24"/>
        </w:rPr>
        <w:t>Challenge Social Innovation</w:t>
      </w:r>
      <w:r w:rsidR="0089673C" w:rsidRPr="0096792B">
        <w:rPr>
          <w:rFonts w:ascii="Times New Roman" w:hAnsi="Times New Roman" w:cs="Times New Roman"/>
          <w:b/>
          <w:sz w:val="24"/>
          <w:szCs w:val="24"/>
        </w:rPr>
        <w:t>.</w:t>
      </w:r>
      <w:r w:rsidRPr="0096792B">
        <w:rPr>
          <w:rFonts w:ascii="Times New Roman" w:hAnsi="Times New Roman" w:cs="Times New Roman"/>
          <w:sz w:val="24"/>
          <w:szCs w:val="24"/>
        </w:rPr>
        <w:t xml:space="preserve"> Berlin</w:t>
      </w:r>
      <w:r w:rsidR="0089673C" w:rsidRPr="0096792B">
        <w:rPr>
          <w:rFonts w:ascii="Times New Roman" w:hAnsi="Times New Roman" w:cs="Times New Roman"/>
          <w:sz w:val="24"/>
          <w:szCs w:val="24"/>
        </w:rPr>
        <w:t>/</w:t>
      </w:r>
      <w:r w:rsidRPr="0096792B">
        <w:rPr>
          <w:rFonts w:ascii="Times New Roman" w:hAnsi="Times New Roman" w:cs="Times New Roman"/>
          <w:sz w:val="24"/>
          <w:szCs w:val="24"/>
        </w:rPr>
        <w:t>Heidelberg</w:t>
      </w:r>
      <w:r w:rsidR="0089673C" w:rsidRPr="0096792B">
        <w:rPr>
          <w:rFonts w:ascii="Times New Roman" w:hAnsi="Times New Roman" w:cs="Times New Roman"/>
          <w:sz w:val="24"/>
          <w:szCs w:val="24"/>
        </w:rPr>
        <w:t>: Springer</w:t>
      </w:r>
      <w:r w:rsidRPr="0096792B">
        <w:rPr>
          <w:rFonts w:ascii="Times New Roman" w:hAnsi="Times New Roman" w:cs="Times New Roman"/>
          <w:sz w:val="24"/>
          <w:szCs w:val="24"/>
        </w:rPr>
        <w:t xml:space="preserve">, 2012.  p.1-16. </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rPr>
        <w:t>FREEMAN, C.; PEREZ, C. Structural Crises of Adjustment: Business Cycles and Investment Behaviour. In: DOSI, G.</w:t>
      </w:r>
      <w:r w:rsidRPr="0096792B">
        <w:rPr>
          <w:rFonts w:ascii="Times New Roman" w:hAnsi="Times New Roman" w:cs="Times New Roman"/>
          <w:i/>
          <w:sz w:val="24"/>
          <w:szCs w:val="24"/>
        </w:rPr>
        <w:t xml:space="preserve"> et al</w:t>
      </w:r>
      <w:r w:rsidRPr="0096792B">
        <w:rPr>
          <w:rFonts w:ascii="Times New Roman" w:hAnsi="Times New Roman" w:cs="Times New Roman"/>
          <w:sz w:val="24"/>
          <w:szCs w:val="24"/>
        </w:rPr>
        <w:t xml:space="preserve"> (Ed.). </w:t>
      </w:r>
      <w:r w:rsidRPr="0096792B">
        <w:rPr>
          <w:rFonts w:ascii="Times New Roman" w:hAnsi="Times New Roman" w:cs="Times New Roman"/>
          <w:b/>
          <w:sz w:val="24"/>
          <w:szCs w:val="24"/>
        </w:rPr>
        <w:t>Technical change and economic theory</w:t>
      </w:r>
      <w:r w:rsidRPr="0096792B">
        <w:rPr>
          <w:rFonts w:ascii="Times New Roman" w:hAnsi="Times New Roman" w:cs="Times New Roman"/>
          <w:sz w:val="24"/>
          <w:szCs w:val="24"/>
        </w:rPr>
        <w:t xml:space="preserve">. </w:t>
      </w:r>
      <w:r w:rsidRPr="0096792B">
        <w:rPr>
          <w:rFonts w:ascii="Times New Roman" w:hAnsi="Times New Roman" w:cs="Times New Roman"/>
          <w:sz w:val="24"/>
          <w:szCs w:val="24"/>
          <w:lang w:val="pt-BR"/>
        </w:rPr>
        <w:t xml:space="preserve">London: Pinter Publishers, 1988.  </w:t>
      </w:r>
    </w:p>
    <w:p w:rsidR="007C7892" w:rsidRPr="00AB0DD7"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lang w:val="pt-BR"/>
        </w:rPr>
        <w:t xml:space="preserve">HAIR, J. F.  </w:t>
      </w:r>
      <w:r w:rsidRPr="0096792B">
        <w:rPr>
          <w:rFonts w:ascii="Times New Roman" w:hAnsi="Times New Roman" w:cs="Times New Roman"/>
          <w:i/>
          <w:sz w:val="24"/>
          <w:szCs w:val="24"/>
          <w:lang w:val="pt-BR"/>
        </w:rPr>
        <w:t>et al.</w:t>
      </w:r>
      <w:r w:rsidRPr="0096792B">
        <w:rPr>
          <w:rFonts w:ascii="Times New Roman" w:hAnsi="Times New Roman" w:cs="Times New Roman"/>
          <w:sz w:val="24"/>
          <w:szCs w:val="24"/>
          <w:lang w:val="pt-BR"/>
        </w:rPr>
        <w:t xml:space="preserve"> </w:t>
      </w:r>
      <w:r w:rsidRPr="0096792B">
        <w:rPr>
          <w:rFonts w:ascii="Times New Roman" w:hAnsi="Times New Roman" w:cs="Times New Roman"/>
          <w:b/>
          <w:sz w:val="24"/>
          <w:szCs w:val="24"/>
          <w:lang w:val="pt-BR"/>
        </w:rPr>
        <w:t>Análise multivariada de dados</w:t>
      </w:r>
      <w:r w:rsidRPr="0096792B">
        <w:rPr>
          <w:rFonts w:ascii="Times New Roman" w:hAnsi="Times New Roman" w:cs="Times New Roman"/>
          <w:sz w:val="24"/>
          <w:szCs w:val="24"/>
          <w:lang w:val="pt-BR"/>
        </w:rPr>
        <w:t xml:space="preserve">. </w:t>
      </w:r>
      <w:r w:rsidRPr="00AB0DD7">
        <w:rPr>
          <w:rFonts w:ascii="Times New Roman" w:hAnsi="Times New Roman" w:cs="Times New Roman"/>
          <w:sz w:val="24"/>
          <w:szCs w:val="24"/>
        </w:rPr>
        <w:t>6. Porto Alegre: Bookman, 2009.</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rPr>
        <w:t xml:space="preserve">HIPP, C.; GRUPP, H. Innovation in the service sector: The demand for service-specific innovation measurement concepts and typologies. </w:t>
      </w:r>
      <w:r w:rsidRPr="0096792B">
        <w:rPr>
          <w:rFonts w:ascii="Times New Roman" w:hAnsi="Times New Roman" w:cs="Times New Roman"/>
          <w:b/>
          <w:sz w:val="24"/>
          <w:szCs w:val="24"/>
        </w:rPr>
        <w:t xml:space="preserve">Research Policy, </w:t>
      </w:r>
      <w:r w:rsidRPr="0096792B">
        <w:rPr>
          <w:rFonts w:ascii="Times New Roman" w:hAnsi="Times New Roman" w:cs="Times New Roman"/>
          <w:sz w:val="24"/>
          <w:szCs w:val="24"/>
        </w:rPr>
        <w:t xml:space="preserve">v. 34, n. 4, p. 517-535,  2005.  </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rPr>
        <w:t xml:space="preserve">HONG, S.; OXLEY, L.; MCCANN, P. A Survey of the Innovation Surveys. </w:t>
      </w:r>
      <w:r w:rsidRPr="0096792B">
        <w:rPr>
          <w:rFonts w:ascii="Times New Roman" w:hAnsi="Times New Roman" w:cs="Times New Roman"/>
          <w:b/>
          <w:sz w:val="24"/>
          <w:szCs w:val="24"/>
          <w:lang w:val="pt-BR"/>
        </w:rPr>
        <w:t xml:space="preserve">Journal of Economic Surveys, </w:t>
      </w:r>
      <w:r w:rsidRPr="0096792B">
        <w:rPr>
          <w:rFonts w:ascii="Times New Roman" w:hAnsi="Times New Roman" w:cs="Times New Roman"/>
          <w:sz w:val="24"/>
          <w:szCs w:val="24"/>
          <w:lang w:val="pt-BR"/>
        </w:rPr>
        <w:t xml:space="preserve">v. 26, n. 3, p. 420-444,  2012.  </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lang w:val="pt-BR"/>
        </w:rPr>
        <w:t xml:space="preserve">IBGE. </w:t>
      </w:r>
      <w:r w:rsidRPr="0096792B">
        <w:rPr>
          <w:rFonts w:ascii="Times New Roman" w:hAnsi="Times New Roman" w:cs="Times New Roman"/>
          <w:b/>
          <w:sz w:val="24"/>
          <w:szCs w:val="24"/>
          <w:lang w:val="pt-BR"/>
        </w:rPr>
        <w:t>Pesquisa de Inovação</w:t>
      </w:r>
      <w:r w:rsidRPr="0096792B">
        <w:rPr>
          <w:rFonts w:ascii="Times New Roman" w:hAnsi="Times New Roman" w:cs="Times New Roman"/>
          <w:sz w:val="24"/>
          <w:szCs w:val="24"/>
          <w:lang w:val="pt-BR"/>
        </w:rPr>
        <w:t xml:space="preserve">. Instituto Brasileiro de Geografia e Estatística. </w:t>
      </w:r>
      <w:r w:rsidRPr="0096792B">
        <w:rPr>
          <w:rFonts w:ascii="Times New Roman" w:hAnsi="Times New Roman" w:cs="Times New Roman"/>
          <w:sz w:val="24"/>
          <w:szCs w:val="24"/>
        </w:rPr>
        <w:t>Rio de Janeiro. 201</w:t>
      </w:r>
      <w:r w:rsidR="007D6767">
        <w:rPr>
          <w:rFonts w:ascii="Times New Roman" w:hAnsi="Times New Roman" w:cs="Times New Roman"/>
          <w:sz w:val="24"/>
          <w:szCs w:val="24"/>
        </w:rPr>
        <w:t>6.</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rPr>
        <w:lastRenderedPageBreak/>
        <w:t>LAURSEN, K.; FOSS, N. J.  Human Resource Management Practices and Innovation. In: DODGSON, M.;GANN, D. M.</w:t>
      </w:r>
      <w:r w:rsidRPr="0096792B">
        <w:rPr>
          <w:rFonts w:ascii="Times New Roman" w:hAnsi="Times New Roman" w:cs="Times New Roman"/>
          <w:i/>
          <w:sz w:val="24"/>
          <w:szCs w:val="24"/>
        </w:rPr>
        <w:t>, et al</w:t>
      </w:r>
      <w:r w:rsidRPr="0096792B">
        <w:rPr>
          <w:rFonts w:ascii="Times New Roman" w:hAnsi="Times New Roman" w:cs="Times New Roman"/>
          <w:sz w:val="24"/>
          <w:szCs w:val="24"/>
        </w:rPr>
        <w:t xml:space="preserve"> (Ed.). </w:t>
      </w:r>
      <w:r w:rsidRPr="0096792B">
        <w:rPr>
          <w:rFonts w:ascii="Times New Roman" w:hAnsi="Times New Roman" w:cs="Times New Roman"/>
          <w:b/>
          <w:sz w:val="24"/>
          <w:szCs w:val="24"/>
        </w:rPr>
        <w:t>The Oxford Handbook of Innovation Management</w:t>
      </w:r>
      <w:r w:rsidRPr="0096792B">
        <w:rPr>
          <w:rFonts w:ascii="Times New Roman" w:hAnsi="Times New Roman" w:cs="Times New Roman"/>
          <w:sz w:val="24"/>
          <w:szCs w:val="24"/>
        </w:rPr>
        <w:t xml:space="preserve">. Oxford: Oxford University Press, 2014.  </w:t>
      </w:r>
    </w:p>
    <w:p w:rsidR="00633A5C" w:rsidRDefault="00633A5C" w:rsidP="00620EF8">
      <w:pPr>
        <w:pStyle w:val="EndNoteBibliography"/>
        <w:widowControl w:val="0"/>
        <w:spacing w:after="240" w:line="480" w:lineRule="auto"/>
        <w:jc w:val="left"/>
        <w:rPr>
          <w:rFonts w:ascii="Times New Roman" w:hAnsi="Times New Roman" w:cs="Times New Roman"/>
          <w:sz w:val="24"/>
          <w:szCs w:val="24"/>
          <w:lang w:val="pt-BR"/>
        </w:rPr>
      </w:pPr>
      <w:r w:rsidRPr="006E62B9">
        <w:rPr>
          <w:rFonts w:ascii="Times New Roman" w:hAnsi="Times New Roman" w:cs="Times New Roman"/>
          <w:sz w:val="24"/>
          <w:szCs w:val="24"/>
        </w:rPr>
        <w:t xml:space="preserve">LUCIANO, E. M.; BECKER, C. A.; TESTA, M. G.. </w:t>
      </w:r>
      <w:r w:rsidRPr="00633A5C">
        <w:rPr>
          <w:rFonts w:ascii="Times New Roman" w:hAnsi="Times New Roman" w:cs="Times New Roman"/>
          <w:sz w:val="24"/>
          <w:szCs w:val="24"/>
          <w:lang w:val="pt-BR"/>
        </w:rPr>
        <w:t xml:space="preserve">Competências individuais relevantes para os Chief Information Officers na percepção de profissionais de Tecnologia da Informação. </w:t>
      </w:r>
      <w:r w:rsidRPr="00633A5C">
        <w:rPr>
          <w:rFonts w:ascii="Times New Roman" w:hAnsi="Times New Roman" w:cs="Times New Roman"/>
          <w:b/>
          <w:sz w:val="24"/>
          <w:szCs w:val="24"/>
          <w:lang w:val="pt-BR"/>
        </w:rPr>
        <w:t>Revista Eletrônica de Sistemas de Informação</w:t>
      </w:r>
      <w:r w:rsidRPr="00633A5C">
        <w:rPr>
          <w:rFonts w:ascii="Times New Roman" w:hAnsi="Times New Roman" w:cs="Times New Roman"/>
          <w:sz w:val="24"/>
          <w:szCs w:val="24"/>
          <w:lang w:val="pt-BR"/>
        </w:rPr>
        <w:t xml:space="preserve">, v. 11, n. 1, </w:t>
      </w:r>
      <w:r w:rsidR="00CF0B0B">
        <w:rPr>
          <w:rFonts w:ascii="Times New Roman" w:hAnsi="Times New Roman" w:cs="Times New Roman"/>
          <w:sz w:val="24"/>
          <w:szCs w:val="24"/>
          <w:lang w:val="pt-BR"/>
        </w:rPr>
        <w:t>p.</w:t>
      </w:r>
      <w:r w:rsidR="00B22952">
        <w:rPr>
          <w:rFonts w:ascii="Times New Roman" w:hAnsi="Times New Roman" w:cs="Times New Roman"/>
          <w:sz w:val="24"/>
          <w:szCs w:val="24"/>
          <w:lang w:val="pt-BR"/>
        </w:rPr>
        <w:t xml:space="preserve"> </w:t>
      </w:r>
      <w:r w:rsidR="00CF0B0B">
        <w:rPr>
          <w:rFonts w:ascii="Times New Roman" w:hAnsi="Times New Roman" w:cs="Times New Roman"/>
          <w:sz w:val="24"/>
          <w:szCs w:val="24"/>
          <w:lang w:val="pt-BR"/>
        </w:rPr>
        <w:t>1</w:t>
      </w:r>
      <w:r w:rsidR="008D2E96">
        <w:rPr>
          <w:rFonts w:ascii="Times New Roman" w:hAnsi="Times New Roman" w:cs="Times New Roman"/>
          <w:sz w:val="24"/>
          <w:szCs w:val="24"/>
          <w:lang w:val="pt-BR"/>
        </w:rPr>
        <w:t>-25</w:t>
      </w:r>
      <w:r w:rsidR="00CF0B0B">
        <w:rPr>
          <w:rFonts w:ascii="Times New Roman" w:hAnsi="Times New Roman" w:cs="Times New Roman"/>
          <w:sz w:val="24"/>
          <w:szCs w:val="24"/>
          <w:lang w:val="pt-BR"/>
        </w:rPr>
        <w:t xml:space="preserve">, </w:t>
      </w:r>
      <w:r w:rsidRPr="00633A5C">
        <w:rPr>
          <w:rFonts w:ascii="Times New Roman" w:hAnsi="Times New Roman" w:cs="Times New Roman"/>
          <w:sz w:val="24"/>
          <w:szCs w:val="24"/>
          <w:lang w:val="pt-BR"/>
        </w:rPr>
        <w:t>2012</w:t>
      </w:r>
      <w:r w:rsidR="00496CA3">
        <w:rPr>
          <w:rFonts w:ascii="Times New Roman" w:hAnsi="Times New Roman" w:cs="Times New Roman"/>
          <w:sz w:val="24"/>
          <w:szCs w:val="24"/>
          <w:lang w:val="pt-BR"/>
        </w:rPr>
        <w:t>.</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633A5C">
        <w:rPr>
          <w:rFonts w:ascii="Times New Roman" w:hAnsi="Times New Roman" w:cs="Times New Roman"/>
          <w:sz w:val="24"/>
          <w:szCs w:val="24"/>
          <w:lang w:val="pt-BR"/>
        </w:rPr>
        <w:t xml:space="preserve">MAKÓ, C.  </w:t>
      </w:r>
      <w:r w:rsidRPr="0096792B">
        <w:rPr>
          <w:rFonts w:ascii="Times New Roman" w:hAnsi="Times New Roman" w:cs="Times New Roman"/>
          <w:i/>
          <w:sz w:val="24"/>
          <w:szCs w:val="24"/>
        </w:rPr>
        <w:t>et al.</w:t>
      </w:r>
      <w:r w:rsidRPr="0096792B">
        <w:rPr>
          <w:rFonts w:ascii="Times New Roman" w:hAnsi="Times New Roman" w:cs="Times New Roman"/>
          <w:sz w:val="24"/>
          <w:szCs w:val="24"/>
        </w:rPr>
        <w:t xml:space="preserve"> </w:t>
      </w:r>
      <w:r w:rsidRPr="0096792B">
        <w:rPr>
          <w:rFonts w:ascii="Times New Roman" w:hAnsi="Times New Roman" w:cs="Times New Roman"/>
          <w:b/>
          <w:sz w:val="24"/>
          <w:szCs w:val="24"/>
        </w:rPr>
        <w:t>Organizational Innovation and Knowledge Use Practice: Cross-Country Comparison</w:t>
      </w:r>
      <w:r w:rsidRPr="0096792B">
        <w:rPr>
          <w:rFonts w:ascii="Times New Roman" w:hAnsi="Times New Roman" w:cs="Times New Roman"/>
          <w:sz w:val="24"/>
          <w:szCs w:val="24"/>
        </w:rPr>
        <w:t>. Tokyo: Institute of Economic Research Hitotsubashi Univeristy 2011.</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rPr>
        <w:t>MILES, I. Innovation in services. In: FAGERBERG, J.;</w:t>
      </w:r>
      <w:r w:rsidR="0089673C" w:rsidRPr="0096792B">
        <w:rPr>
          <w:rFonts w:ascii="Times New Roman" w:hAnsi="Times New Roman" w:cs="Times New Roman"/>
          <w:sz w:val="24"/>
          <w:szCs w:val="24"/>
        </w:rPr>
        <w:t xml:space="preserve"> </w:t>
      </w:r>
      <w:r w:rsidRPr="0096792B">
        <w:rPr>
          <w:rFonts w:ascii="Times New Roman" w:hAnsi="Times New Roman" w:cs="Times New Roman"/>
          <w:sz w:val="24"/>
          <w:szCs w:val="24"/>
        </w:rPr>
        <w:t>MOWERY, D.</w:t>
      </w:r>
      <w:r w:rsidRPr="0096792B">
        <w:rPr>
          <w:rFonts w:ascii="Times New Roman" w:hAnsi="Times New Roman" w:cs="Times New Roman"/>
          <w:i/>
          <w:sz w:val="24"/>
          <w:szCs w:val="24"/>
        </w:rPr>
        <w:t>, et al</w:t>
      </w:r>
      <w:r w:rsidRPr="0096792B">
        <w:rPr>
          <w:rFonts w:ascii="Times New Roman" w:hAnsi="Times New Roman" w:cs="Times New Roman"/>
          <w:sz w:val="24"/>
          <w:szCs w:val="24"/>
        </w:rPr>
        <w:t xml:space="preserve"> (Ed.). </w:t>
      </w:r>
      <w:r w:rsidRPr="0096792B">
        <w:rPr>
          <w:rFonts w:ascii="Times New Roman" w:hAnsi="Times New Roman" w:cs="Times New Roman"/>
          <w:b/>
          <w:sz w:val="24"/>
          <w:szCs w:val="24"/>
        </w:rPr>
        <w:t>The Oxford Handbook of Innovation</w:t>
      </w:r>
      <w:r w:rsidRPr="0096792B">
        <w:rPr>
          <w:rFonts w:ascii="Times New Roman" w:hAnsi="Times New Roman" w:cs="Times New Roman"/>
          <w:sz w:val="24"/>
          <w:szCs w:val="24"/>
        </w:rPr>
        <w:t xml:space="preserve">. Oxford: Oxford University Press, 2005.  p.433-458. </w:t>
      </w:r>
    </w:p>
    <w:p w:rsidR="007226B0" w:rsidRPr="0096792B" w:rsidRDefault="007226B0"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rPr>
        <w:t xml:space="preserve">__________. Research and development (R&amp;D) beyond manufacturing: the strange case of services R&amp;D. </w:t>
      </w:r>
      <w:r w:rsidRPr="0096792B">
        <w:rPr>
          <w:rFonts w:ascii="Times New Roman" w:hAnsi="Times New Roman" w:cs="Times New Roman"/>
          <w:b/>
          <w:sz w:val="24"/>
          <w:szCs w:val="24"/>
        </w:rPr>
        <w:t xml:space="preserve">R&amp;D Management, </w:t>
      </w:r>
      <w:r w:rsidRPr="0096792B">
        <w:rPr>
          <w:rFonts w:ascii="Times New Roman" w:hAnsi="Times New Roman" w:cs="Times New Roman"/>
          <w:sz w:val="24"/>
          <w:szCs w:val="24"/>
        </w:rPr>
        <w:t>v. 37, n. 3, p. 249-268,  2007.</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rPr>
        <w:t>MOL, M. J.; BIRKINSHAW, J. Relating management innovation to product and process innovation: private rents versus public gains. In: PITSIS, T.</w:t>
      </w:r>
      <w:r w:rsidRPr="0096792B">
        <w:rPr>
          <w:rFonts w:ascii="Times New Roman" w:hAnsi="Times New Roman" w:cs="Times New Roman"/>
          <w:i/>
          <w:sz w:val="24"/>
          <w:szCs w:val="24"/>
        </w:rPr>
        <w:t xml:space="preserve"> et al</w:t>
      </w:r>
      <w:r w:rsidR="008E1C33" w:rsidRPr="0096792B">
        <w:rPr>
          <w:rFonts w:ascii="Times New Roman" w:hAnsi="Times New Roman" w:cs="Times New Roman"/>
          <w:i/>
          <w:sz w:val="24"/>
          <w:szCs w:val="24"/>
        </w:rPr>
        <w:t>.</w:t>
      </w:r>
      <w:r w:rsidRPr="0096792B">
        <w:rPr>
          <w:rFonts w:ascii="Times New Roman" w:hAnsi="Times New Roman" w:cs="Times New Roman"/>
          <w:sz w:val="24"/>
          <w:szCs w:val="24"/>
        </w:rPr>
        <w:t xml:space="preserve"> (Ed.). </w:t>
      </w:r>
      <w:r w:rsidRPr="0096792B">
        <w:rPr>
          <w:rFonts w:ascii="Times New Roman" w:hAnsi="Times New Roman" w:cs="Times New Roman"/>
          <w:b/>
          <w:sz w:val="24"/>
          <w:szCs w:val="24"/>
        </w:rPr>
        <w:t>Handbook of Organizational and Managerial Innovation</w:t>
      </w:r>
      <w:r w:rsidRPr="0096792B">
        <w:rPr>
          <w:rFonts w:ascii="Times New Roman" w:hAnsi="Times New Roman" w:cs="Times New Roman"/>
          <w:sz w:val="24"/>
          <w:szCs w:val="24"/>
        </w:rPr>
        <w:t xml:space="preserve">. Cheltenham: Edward Elgar, 2013.  p.13-35. </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rPr>
        <w:t xml:space="preserve">MOTHE, C.; THI, T. U. N. Non-technological and technological innovations: do services differ from manufacturing? An empirical analysis of Luxembourg firms. </w:t>
      </w:r>
      <w:r w:rsidRPr="0096792B">
        <w:rPr>
          <w:rFonts w:ascii="Times New Roman" w:hAnsi="Times New Roman" w:cs="Times New Roman"/>
          <w:b/>
          <w:sz w:val="24"/>
          <w:szCs w:val="24"/>
        </w:rPr>
        <w:t xml:space="preserve">International Journal of Technology Management, </w:t>
      </w:r>
      <w:r w:rsidRPr="0096792B">
        <w:rPr>
          <w:rFonts w:ascii="Times New Roman" w:hAnsi="Times New Roman" w:cs="Times New Roman"/>
          <w:sz w:val="24"/>
          <w:szCs w:val="24"/>
        </w:rPr>
        <w:t xml:space="preserve">v. 57, n. 4, p. 227,  2012.  </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rPr>
        <w:t xml:space="preserve">NÄHLINDER, J. </w:t>
      </w:r>
      <w:r w:rsidRPr="0096792B">
        <w:rPr>
          <w:rFonts w:ascii="Times New Roman" w:hAnsi="Times New Roman" w:cs="Times New Roman"/>
          <w:b/>
          <w:sz w:val="24"/>
          <w:szCs w:val="24"/>
        </w:rPr>
        <w:t>Innovation and employment in services: the case of knowledge intensive business services in Sweden</w:t>
      </w:r>
      <w:r w:rsidRPr="0096792B">
        <w:rPr>
          <w:rFonts w:ascii="Times New Roman" w:hAnsi="Times New Roman" w:cs="Times New Roman"/>
          <w:sz w:val="24"/>
          <w:szCs w:val="24"/>
        </w:rPr>
        <w:t>.  Sweden: Unitryck Linköping, 2005.</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rPr>
        <w:lastRenderedPageBreak/>
        <w:t xml:space="preserve">NELSON, R. R. What enables rapid economic progress: What are the needed institutions? </w:t>
      </w:r>
      <w:r w:rsidRPr="0096792B">
        <w:rPr>
          <w:rFonts w:ascii="Times New Roman" w:hAnsi="Times New Roman" w:cs="Times New Roman"/>
          <w:b/>
          <w:sz w:val="24"/>
          <w:szCs w:val="24"/>
          <w:lang w:val="pt-BR"/>
        </w:rPr>
        <w:t xml:space="preserve">Research Policy, </w:t>
      </w:r>
      <w:r w:rsidRPr="0096792B">
        <w:rPr>
          <w:rFonts w:ascii="Times New Roman" w:hAnsi="Times New Roman" w:cs="Times New Roman"/>
          <w:sz w:val="24"/>
          <w:szCs w:val="24"/>
          <w:lang w:val="pt-BR"/>
        </w:rPr>
        <w:t xml:space="preserve">v. 37, n. 1, p. 1-11,  2008.  </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lang w:val="pt-BR"/>
        </w:rPr>
        <w:t xml:space="preserve">NELSON, R.; WINTER, S. </w:t>
      </w:r>
      <w:r w:rsidRPr="0096792B">
        <w:rPr>
          <w:rFonts w:ascii="Times New Roman" w:hAnsi="Times New Roman" w:cs="Times New Roman"/>
          <w:b/>
          <w:sz w:val="24"/>
          <w:szCs w:val="24"/>
          <w:lang w:val="pt-BR"/>
        </w:rPr>
        <w:t>Uma teoria evolucionária da mudança econômica</w:t>
      </w:r>
      <w:r w:rsidRPr="0096792B">
        <w:rPr>
          <w:rFonts w:ascii="Times New Roman" w:hAnsi="Times New Roman" w:cs="Times New Roman"/>
          <w:sz w:val="24"/>
          <w:szCs w:val="24"/>
          <w:lang w:val="pt-BR"/>
        </w:rPr>
        <w:t>.  Campinas: Editora da Unicamp, 2005.</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lang w:val="pt-BR"/>
        </w:rPr>
        <w:t xml:space="preserve">OCDE. </w:t>
      </w:r>
      <w:r w:rsidRPr="0096792B">
        <w:rPr>
          <w:rFonts w:ascii="Times New Roman" w:hAnsi="Times New Roman" w:cs="Times New Roman"/>
          <w:b/>
          <w:sz w:val="24"/>
          <w:szCs w:val="24"/>
          <w:lang w:val="pt-BR"/>
        </w:rPr>
        <w:t>Manual de Oslo</w:t>
      </w:r>
      <w:r w:rsidRPr="0096792B">
        <w:rPr>
          <w:rFonts w:ascii="Times New Roman" w:hAnsi="Times New Roman" w:cs="Times New Roman"/>
          <w:sz w:val="24"/>
          <w:szCs w:val="24"/>
          <w:lang w:val="pt-BR"/>
        </w:rPr>
        <w:t>. Organização para Cooperação e Desenvolvimento Econômico. Noruega. 2005a</w:t>
      </w:r>
    </w:p>
    <w:p w:rsidR="007226B0" w:rsidRPr="0096792B" w:rsidRDefault="007226B0"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lang w:val="pt-BR"/>
        </w:rPr>
        <w:t xml:space="preserve">_______. </w:t>
      </w:r>
      <w:r w:rsidRPr="0096792B">
        <w:rPr>
          <w:rFonts w:ascii="Times New Roman" w:hAnsi="Times New Roman" w:cs="Times New Roman"/>
          <w:b/>
          <w:sz w:val="24"/>
          <w:szCs w:val="24"/>
          <w:lang w:val="pt-BR"/>
        </w:rPr>
        <w:t>Promoting Innovation in Services</w:t>
      </w:r>
      <w:r w:rsidRPr="0096792B">
        <w:rPr>
          <w:rFonts w:ascii="Times New Roman" w:hAnsi="Times New Roman" w:cs="Times New Roman"/>
          <w:sz w:val="24"/>
          <w:szCs w:val="24"/>
          <w:lang w:val="pt-BR"/>
        </w:rPr>
        <w:t>. OECD Publishing. Paris. 2005b</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lang w:val="pt-BR"/>
        </w:rPr>
        <w:t xml:space="preserve">RESENDE JR., P. C.; GUIMARÃES, T. A. Inovação em Serviços: o estado da arte e uma proposta de agenda de pesquisa. </w:t>
      </w:r>
      <w:r w:rsidRPr="0096792B">
        <w:rPr>
          <w:rFonts w:ascii="Times New Roman" w:hAnsi="Times New Roman" w:cs="Times New Roman"/>
          <w:b/>
          <w:sz w:val="24"/>
          <w:szCs w:val="24"/>
          <w:lang w:val="pt-BR"/>
        </w:rPr>
        <w:t xml:space="preserve">Revista Brasileira de Gestão de Negócios, </w:t>
      </w:r>
      <w:r w:rsidRPr="0096792B">
        <w:rPr>
          <w:rFonts w:ascii="Times New Roman" w:hAnsi="Times New Roman" w:cs="Times New Roman"/>
          <w:sz w:val="24"/>
          <w:szCs w:val="24"/>
          <w:lang w:val="pt-BR"/>
        </w:rPr>
        <w:t xml:space="preserve">v. 14, n. 44, p. 293-313,  2012.  </w:t>
      </w:r>
    </w:p>
    <w:p w:rsidR="007C7892"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lang w:val="pt-BR"/>
        </w:rPr>
        <w:t xml:space="preserve">RIBEIRO, E. B. S.  </w:t>
      </w:r>
      <w:r w:rsidRPr="0096792B">
        <w:rPr>
          <w:rFonts w:ascii="Times New Roman" w:hAnsi="Times New Roman" w:cs="Times New Roman"/>
          <w:i/>
          <w:sz w:val="24"/>
          <w:szCs w:val="24"/>
          <w:lang w:val="pt-BR"/>
        </w:rPr>
        <w:t>et al.</w:t>
      </w:r>
      <w:r w:rsidRPr="0096792B">
        <w:rPr>
          <w:rFonts w:ascii="Times New Roman" w:hAnsi="Times New Roman" w:cs="Times New Roman"/>
          <w:sz w:val="24"/>
          <w:szCs w:val="24"/>
          <w:lang w:val="pt-BR"/>
        </w:rPr>
        <w:t xml:space="preserve"> Inovatividade organizacional e seus antecedentes: um estudo aplicado às tecnologias para pecuária. </w:t>
      </w:r>
      <w:r w:rsidRPr="0096792B">
        <w:rPr>
          <w:rFonts w:ascii="Times New Roman" w:hAnsi="Times New Roman" w:cs="Times New Roman"/>
          <w:b/>
          <w:sz w:val="24"/>
          <w:szCs w:val="24"/>
          <w:lang w:val="pt-BR"/>
        </w:rPr>
        <w:t>Revista de Administração da Universidade de São Paulo</w:t>
      </w:r>
      <w:r w:rsidRPr="0096792B">
        <w:rPr>
          <w:rFonts w:ascii="Times New Roman" w:hAnsi="Times New Roman" w:cs="Times New Roman"/>
          <w:sz w:val="24"/>
          <w:szCs w:val="24"/>
          <w:lang w:val="pt-BR"/>
        </w:rPr>
        <w:t>,</w:t>
      </w:r>
      <w:r w:rsidR="006C2D68">
        <w:rPr>
          <w:rFonts w:ascii="Times New Roman" w:hAnsi="Times New Roman" w:cs="Times New Roman"/>
          <w:sz w:val="24"/>
          <w:szCs w:val="24"/>
          <w:lang w:val="pt-BR"/>
        </w:rPr>
        <w:t xml:space="preserve"> v. 46, n. 4,</w:t>
      </w:r>
      <w:r w:rsidRPr="0096792B">
        <w:rPr>
          <w:rFonts w:ascii="Times New Roman" w:hAnsi="Times New Roman" w:cs="Times New Roman"/>
          <w:sz w:val="24"/>
          <w:szCs w:val="24"/>
          <w:lang w:val="pt-BR"/>
        </w:rPr>
        <w:t xml:space="preserve"> p. 342-357,  2011.  </w:t>
      </w:r>
    </w:p>
    <w:p w:rsidR="006C2D68" w:rsidRPr="00AB0DD7" w:rsidRDefault="006C2D68" w:rsidP="00620EF8">
      <w:pPr>
        <w:pStyle w:val="EndNoteBibliography"/>
        <w:widowControl w:val="0"/>
        <w:spacing w:after="240" w:line="480" w:lineRule="auto"/>
        <w:jc w:val="left"/>
        <w:rPr>
          <w:rFonts w:ascii="Times New Roman" w:hAnsi="Times New Roman" w:cs="Times New Roman"/>
          <w:sz w:val="24"/>
          <w:szCs w:val="24"/>
        </w:rPr>
      </w:pPr>
      <w:r>
        <w:rPr>
          <w:rFonts w:ascii="Times New Roman" w:hAnsi="Times New Roman" w:cs="Times New Roman"/>
          <w:sz w:val="24"/>
          <w:szCs w:val="24"/>
        </w:rPr>
        <w:t xml:space="preserve">SALAZAR, M.; HOLBROOK, A. A debate on innovation surveys. </w:t>
      </w:r>
      <w:r>
        <w:rPr>
          <w:rFonts w:ascii="Times New Roman" w:hAnsi="Times New Roman" w:cs="Times New Roman"/>
          <w:b/>
          <w:bCs/>
          <w:sz w:val="24"/>
          <w:szCs w:val="24"/>
        </w:rPr>
        <w:t xml:space="preserve">Science &amp; Public Policy, </w:t>
      </w:r>
      <w:r>
        <w:rPr>
          <w:rFonts w:ascii="Times New Roman" w:hAnsi="Times New Roman" w:cs="Times New Roman"/>
          <w:sz w:val="24"/>
          <w:szCs w:val="24"/>
        </w:rPr>
        <w:t>v. 31, n. 4, p. 254-266, 2004.</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lang w:val="pt-BR"/>
        </w:rPr>
        <w:t xml:space="preserve">SANTOS, D. F. L.  </w:t>
      </w:r>
      <w:r w:rsidRPr="00AB0DD7">
        <w:rPr>
          <w:rFonts w:ascii="Times New Roman" w:hAnsi="Times New Roman" w:cs="Times New Roman"/>
          <w:i/>
          <w:sz w:val="24"/>
          <w:szCs w:val="24"/>
          <w:lang w:val="pt-BR"/>
        </w:rPr>
        <w:t>et al.</w:t>
      </w:r>
      <w:r w:rsidRPr="00AB0DD7">
        <w:rPr>
          <w:rFonts w:ascii="Times New Roman" w:hAnsi="Times New Roman" w:cs="Times New Roman"/>
          <w:sz w:val="24"/>
          <w:szCs w:val="24"/>
          <w:lang w:val="pt-BR"/>
        </w:rPr>
        <w:t xml:space="preserve"> </w:t>
      </w:r>
      <w:r w:rsidRPr="0096792B">
        <w:rPr>
          <w:rFonts w:ascii="Times New Roman" w:hAnsi="Times New Roman" w:cs="Times New Roman"/>
          <w:sz w:val="24"/>
          <w:szCs w:val="24"/>
        </w:rPr>
        <w:t xml:space="preserve">Innovation efforts and performances of Brazilian firms. </w:t>
      </w:r>
      <w:r w:rsidRPr="0096792B">
        <w:rPr>
          <w:rFonts w:ascii="Times New Roman" w:hAnsi="Times New Roman" w:cs="Times New Roman"/>
          <w:b/>
          <w:sz w:val="24"/>
          <w:szCs w:val="24"/>
        </w:rPr>
        <w:t xml:space="preserve">Journal of Business Research, </w:t>
      </w:r>
      <w:r w:rsidRPr="0096792B">
        <w:rPr>
          <w:rFonts w:ascii="Times New Roman" w:hAnsi="Times New Roman" w:cs="Times New Roman"/>
          <w:sz w:val="24"/>
          <w:szCs w:val="24"/>
        </w:rPr>
        <w:t xml:space="preserve">v. 67, n. 4, p. 527-535,  2014.  </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rPr>
        <w:t xml:space="preserve">SAPPRASERT, K; CLAUSEN, T. H. Organizational innovation and its effects. </w:t>
      </w:r>
      <w:r w:rsidRPr="0096792B">
        <w:rPr>
          <w:rFonts w:ascii="Times New Roman" w:hAnsi="Times New Roman" w:cs="Times New Roman"/>
          <w:b/>
          <w:sz w:val="24"/>
          <w:szCs w:val="24"/>
        </w:rPr>
        <w:t>Industrial and Corporate Change</w:t>
      </w:r>
      <w:r w:rsidRPr="0096792B">
        <w:rPr>
          <w:rFonts w:ascii="Times New Roman" w:hAnsi="Times New Roman" w:cs="Times New Roman"/>
          <w:sz w:val="24"/>
          <w:szCs w:val="24"/>
        </w:rPr>
        <w:t>, v. 21, n. 5, p. 1283-1305, 2012.</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rPr>
        <w:lastRenderedPageBreak/>
        <w:t xml:space="preserve">SAUERMANN, H.; ROACH, M. Increasing web survey response rates in innovation research: An experimental study of static and dynamic contact design features. </w:t>
      </w:r>
      <w:r w:rsidRPr="0096792B">
        <w:rPr>
          <w:rFonts w:ascii="Times New Roman" w:hAnsi="Times New Roman" w:cs="Times New Roman"/>
          <w:b/>
          <w:sz w:val="24"/>
          <w:szCs w:val="24"/>
          <w:lang w:val="pt-BR"/>
        </w:rPr>
        <w:t xml:space="preserve">Research Policy, </w:t>
      </w:r>
      <w:r w:rsidRPr="0096792B">
        <w:rPr>
          <w:rFonts w:ascii="Times New Roman" w:hAnsi="Times New Roman" w:cs="Times New Roman"/>
          <w:sz w:val="24"/>
          <w:szCs w:val="24"/>
          <w:lang w:val="pt-BR"/>
        </w:rPr>
        <w:t xml:space="preserve">v. 42, n. 1, p. 273-286,  2013.  </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lang w:val="pt-BR"/>
        </w:rPr>
        <w:t xml:space="preserve">SCHUMPETER, J. A. </w:t>
      </w:r>
      <w:r w:rsidRPr="0096792B">
        <w:rPr>
          <w:rFonts w:ascii="Times New Roman" w:hAnsi="Times New Roman" w:cs="Times New Roman"/>
          <w:b/>
          <w:sz w:val="24"/>
          <w:szCs w:val="24"/>
          <w:lang w:val="pt-BR"/>
        </w:rPr>
        <w:t>Teoria do Desenvolvimento Econômico</w:t>
      </w:r>
      <w:r w:rsidRPr="0096792B">
        <w:rPr>
          <w:rFonts w:ascii="Times New Roman" w:hAnsi="Times New Roman" w:cs="Times New Roman"/>
          <w:sz w:val="24"/>
          <w:szCs w:val="24"/>
          <w:lang w:val="pt-BR"/>
        </w:rPr>
        <w:t>.  São Paulo: Nova Cultural, 1997[1964].</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lang w:val="pt-BR"/>
        </w:rPr>
        <w:t xml:space="preserve">SILVA NETO, F. C. C.  </w:t>
      </w:r>
      <w:r w:rsidRPr="0096792B">
        <w:rPr>
          <w:rFonts w:ascii="Times New Roman" w:hAnsi="Times New Roman" w:cs="Times New Roman"/>
          <w:i/>
          <w:sz w:val="24"/>
          <w:szCs w:val="24"/>
          <w:lang w:val="pt-BR"/>
        </w:rPr>
        <w:t>et al.</w:t>
      </w:r>
      <w:r w:rsidRPr="0096792B">
        <w:rPr>
          <w:rFonts w:ascii="Times New Roman" w:hAnsi="Times New Roman" w:cs="Times New Roman"/>
          <w:sz w:val="24"/>
          <w:szCs w:val="24"/>
          <w:lang w:val="pt-BR"/>
        </w:rPr>
        <w:t xml:space="preserve"> </w:t>
      </w:r>
      <w:r w:rsidRPr="0096792B">
        <w:rPr>
          <w:rFonts w:ascii="Times New Roman" w:hAnsi="Times New Roman" w:cs="Times New Roman"/>
          <w:b/>
          <w:sz w:val="24"/>
          <w:szCs w:val="24"/>
          <w:lang w:val="pt-BR"/>
        </w:rPr>
        <w:t>Inovação em serviços intensivos em conhecimento em Minas Gerais uma análise exploratória da PINTEC/IBGE, 2008 e 2011</w:t>
      </w:r>
      <w:r w:rsidRPr="0096792B">
        <w:rPr>
          <w:rFonts w:ascii="Times New Roman" w:hAnsi="Times New Roman" w:cs="Times New Roman"/>
          <w:sz w:val="24"/>
          <w:szCs w:val="24"/>
          <w:lang w:val="pt-BR"/>
        </w:rPr>
        <w:t>. XVI Seminário sobre a Economia Mineira. Diamantina: CEDEPLAR 2014.</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lang w:val="pt-BR"/>
        </w:rPr>
        <w:t xml:space="preserve">SILVA, C. C.  </w:t>
      </w:r>
      <w:r w:rsidRPr="0096792B">
        <w:rPr>
          <w:rFonts w:ascii="Times New Roman" w:hAnsi="Times New Roman" w:cs="Times New Roman"/>
          <w:i/>
          <w:sz w:val="24"/>
          <w:szCs w:val="24"/>
          <w:lang w:val="pt-BR"/>
        </w:rPr>
        <w:t>et al.</w:t>
      </w:r>
      <w:r w:rsidRPr="0096792B">
        <w:rPr>
          <w:rFonts w:ascii="Times New Roman" w:hAnsi="Times New Roman" w:cs="Times New Roman"/>
          <w:sz w:val="24"/>
          <w:szCs w:val="24"/>
          <w:lang w:val="pt-BR"/>
        </w:rPr>
        <w:t xml:space="preserve"> Governança estrutural e processual no arranjo produtivo local de software de Belo Horizonte-Minas Gerais. </w:t>
      </w:r>
      <w:r w:rsidRPr="0096792B">
        <w:rPr>
          <w:rFonts w:ascii="Times New Roman" w:hAnsi="Times New Roman" w:cs="Times New Roman"/>
          <w:b/>
          <w:sz w:val="24"/>
          <w:szCs w:val="24"/>
          <w:lang w:val="pt-BR"/>
        </w:rPr>
        <w:t xml:space="preserve">RDE-Revista de Desenvolvimento Econômico, </w:t>
      </w:r>
      <w:r w:rsidRPr="0096792B">
        <w:rPr>
          <w:rFonts w:ascii="Times New Roman" w:hAnsi="Times New Roman" w:cs="Times New Roman"/>
          <w:sz w:val="24"/>
          <w:szCs w:val="24"/>
          <w:lang w:val="pt-BR"/>
        </w:rPr>
        <w:t xml:space="preserve">v. 17, n. 31,  2015.  </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lang w:val="pt-BR"/>
        </w:rPr>
        <w:t xml:space="preserve">SOFTEX. </w:t>
      </w:r>
      <w:r w:rsidRPr="0096792B">
        <w:rPr>
          <w:rFonts w:ascii="Times New Roman" w:hAnsi="Times New Roman" w:cs="Times New Roman"/>
          <w:b/>
          <w:sz w:val="24"/>
          <w:szCs w:val="24"/>
          <w:lang w:val="pt-BR"/>
        </w:rPr>
        <w:t>Relatório de atividades 2015</w:t>
      </w:r>
      <w:r w:rsidRPr="0096792B">
        <w:rPr>
          <w:rFonts w:ascii="Times New Roman" w:hAnsi="Times New Roman" w:cs="Times New Roman"/>
          <w:sz w:val="24"/>
          <w:szCs w:val="24"/>
          <w:lang w:val="pt-BR"/>
        </w:rPr>
        <w:t>, Associação para Promoção da Excelência do</w:t>
      </w:r>
      <w:r w:rsidR="00D310EF" w:rsidRPr="0096792B">
        <w:rPr>
          <w:rFonts w:ascii="Times New Roman" w:hAnsi="Times New Roman" w:cs="Times New Roman"/>
          <w:sz w:val="24"/>
          <w:szCs w:val="24"/>
          <w:lang w:val="pt-BR"/>
        </w:rPr>
        <w:t xml:space="preserve"> </w:t>
      </w:r>
      <w:r w:rsidRPr="0096792B">
        <w:rPr>
          <w:rFonts w:ascii="Times New Roman" w:hAnsi="Times New Roman" w:cs="Times New Roman"/>
          <w:sz w:val="24"/>
          <w:szCs w:val="24"/>
          <w:lang w:val="pt-BR"/>
        </w:rPr>
        <w:t>Software Brasileiro. 2015.</w:t>
      </w:r>
    </w:p>
    <w:p w:rsidR="00D310EF"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lang w:val="pt-BR"/>
        </w:rPr>
        <w:t>SOUZA, T. P. Discurso e identidade: uma análise das publicações sobre trabalho, carreira e</w:t>
      </w:r>
      <w:r w:rsidR="00D310EF" w:rsidRPr="0096792B">
        <w:rPr>
          <w:rFonts w:ascii="Times New Roman" w:hAnsi="Times New Roman" w:cs="Times New Roman"/>
          <w:sz w:val="24"/>
          <w:szCs w:val="24"/>
          <w:lang w:val="pt-BR"/>
        </w:rPr>
        <w:t xml:space="preserve"> profissão no campo da tecnologia da informação. </w:t>
      </w:r>
      <w:r w:rsidR="00D310EF" w:rsidRPr="0096792B">
        <w:rPr>
          <w:rFonts w:ascii="Times New Roman" w:hAnsi="Times New Roman" w:cs="Times New Roman"/>
          <w:b/>
          <w:sz w:val="24"/>
          <w:szCs w:val="24"/>
          <w:lang w:val="pt-BR"/>
        </w:rPr>
        <w:t>Áskesis</w:t>
      </w:r>
      <w:r w:rsidR="00D310EF" w:rsidRPr="0096792B">
        <w:rPr>
          <w:rFonts w:ascii="Times New Roman" w:hAnsi="Times New Roman" w:cs="Times New Roman"/>
          <w:sz w:val="24"/>
          <w:szCs w:val="24"/>
          <w:lang w:val="pt-BR"/>
        </w:rPr>
        <w:t xml:space="preserve"> - Revista dxs discentes do Programa de Pós-graduação em Sociologia da UFSCar, v. 5, n. 1, p. 32-44, 2016.</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rPr>
        <w:t xml:space="preserve">SUNDBO, J.; GALLOUJ, F. </w:t>
      </w:r>
      <w:r w:rsidRPr="0096792B">
        <w:rPr>
          <w:rFonts w:ascii="Times New Roman" w:hAnsi="Times New Roman" w:cs="Times New Roman"/>
          <w:b/>
          <w:sz w:val="24"/>
          <w:szCs w:val="24"/>
        </w:rPr>
        <w:t>Innovation in service (SI4S Synthesis Paper, n. 2)</w:t>
      </w:r>
      <w:r w:rsidRPr="0096792B">
        <w:rPr>
          <w:rFonts w:ascii="Times New Roman" w:hAnsi="Times New Roman" w:cs="Times New Roman"/>
          <w:sz w:val="24"/>
          <w:szCs w:val="24"/>
        </w:rPr>
        <w:t>. Oslo: SI4S Project 1998.</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rPr>
        <w:t xml:space="preserve">TEECE, D. J. Explicating dynamic capabilities: the nature and microfoundations of (sustainable) enterprise performance. </w:t>
      </w:r>
      <w:r w:rsidRPr="0096792B">
        <w:rPr>
          <w:rFonts w:ascii="Times New Roman" w:hAnsi="Times New Roman" w:cs="Times New Roman"/>
          <w:b/>
          <w:sz w:val="24"/>
          <w:szCs w:val="24"/>
        </w:rPr>
        <w:t xml:space="preserve">Strategic Management Journal, </w:t>
      </w:r>
      <w:r w:rsidRPr="0096792B">
        <w:rPr>
          <w:rFonts w:ascii="Times New Roman" w:hAnsi="Times New Roman" w:cs="Times New Roman"/>
          <w:sz w:val="24"/>
          <w:szCs w:val="24"/>
        </w:rPr>
        <w:t>v. 28, n. 13, p. 1319-</w:t>
      </w:r>
      <w:r w:rsidRPr="0096792B">
        <w:rPr>
          <w:rFonts w:ascii="Times New Roman" w:hAnsi="Times New Roman" w:cs="Times New Roman"/>
          <w:sz w:val="24"/>
          <w:szCs w:val="24"/>
        </w:rPr>
        <w:lastRenderedPageBreak/>
        <w:t xml:space="preserve">1350,  2007.  </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rPr>
        <w:t xml:space="preserve">TETHER, B. S.; TAJAR, A. The organisational-cooperation mode of innovation and its prominence amongst European service firms. </w:t>
      </w:r>
      <w:r w:rsidRPr="0096792B">
        <w:rPr>
          <w:rFonts w:ascii="Times New Roman" w:hAnsi="Times New Roman" w:cs="Times New Roman"/>
          <w:b/>
          <w:sz w:val="24"/>
          <w:szCs w:val="24"/>
          <w:lang w:val="pt-BR"/>
        </w:rPr>
        <w:t xml:space="preserve">Research Policy, </w:t>
      </w:r>
      <w:r w:rsidRPr="0096792B">
        <w:rPr>
          <w:rFonts w:ascii="Times New Roman" w:hAnsi="Times New Roman" w:cs="Times New Roman"/>
          <w:sz w:val="24"/>
          <w:szCs w:val="24"/>
          <w:lang w:val="pt-BR"/>
        </w:rPr>
        <w:t xml:space="preserve">v. 37, n. 4, p. 720-739,  2008.  </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lang w:val="pt-BR"/>
        </w:rPr>
        <w:t xml:space="preserve">TIDD, J.; BESSANT, J. </w:t>
      </w:r>
      <w:r w:rsidRPr="0096792B">
        <w:rPr>
          <w:rFonts w:ascii="Times New Roman" w:hAnsi="Times New Roman" w:cs="Times New Roman"/>
          <w:b/>
          <w:sz w:val="24"/>
          <w:szCs w:val="24"/>
          <w:lang w:val="pt-BR"/>
        </w:rPr>
        <w:t>Gestão da Inovação</w:t>
      </w:r>
      <w:r w:rsidRPr="0096792B">
        <w:rPr>
          <w:rFonts w:ascii="Times New Roman" w:hAnsi="Times New Roman" w:cs="Times New Roman"/>
          <w:sz w:val="24"/>
          <w:szCs w:val="24"/>
          <w:lang w:val="pt-BR"/>
        </w:rPr>
        <w:t>. 5ª Ed. Porto Alegre: Bookman, 2015.</w:t>
      </w:r>
    </w:p>
    <w:p w:rsidR="007C7892" w:rsidRPr="0096792B" w:rsidRDefault="007C7892" w:rsidP="00620EF8">
      <w:pPr>
        <w:pStyle w:val="EndNoteBibliography"/>
        <w:widowControl w:val="0"/>
        <w:spacing w:after="240" w:line="480" w:lineRule="auto"/>
        <w:jc w:val="left"/>
        <w:rPr>
          <w:rFonts w:ascii="Times New Roman" w:hAnsi="Times New Roman" w:cs="Times New Roman"/>
          <w:sz w:val="24"/>
          <w:szCs w:val="24"/>
        </w:rPr>
      </w:pPr>
      <w:r w:rsidRPr="0096792B">
        <w:rPr>
          <w:rFonts w:ascii="Times New Roman" w:hAnsi="Times New Roman" w:cs="Times New Roman"/>
          <w:sz w:val="24"/>
          <w:szCs w:val="24"/>
          <w:lang w:val="pt-BR"/>
        </w:rPr>
        <w:t xml:space="preserve">VASCONCELLOS, L. H. R.; MARX, R. Como ocorrem as inovações em serviços? um estudo exploratório de empresas no Brasil. </w:t>
      </w:r>
      <w:r w:rsidRPr="0096792B">
        <w:rPr>
          <w:rFonts w:ascii="Times New Roman" w:hAnsi="Times New Roman" w:cs="Times New Roman"/>
          <w:b/>
          <w:sz w:val="24"/>
          <w:szCs w:val="24"/>
        </w:rPr>
        <w:t xml:space="preserve">Gestão &amp; Produção, </w:t>
      </w:r>
      <w:r w:rsidRPr="0096792B">
        <w:rPr>
          <w:rFonts w:ascii="Times New Roman" w:hAnsi="Times New Roman" w:cs="Times New Roman"/>
          <w:sz w:val="24"/>
          <w:szCs w:val="24"/>
        </w:rPr>
        <w:t xml:space="preserve">v. 18, p. 443-460,  2011. </w:t>
      </w:r>
    </w:p>
    <w:p w:rsidR="007C7892" w:rsidRPr="0032111F" w:rsidRDefault="007C7892" w:rsidP="00620EF8">
      <w:pPr>
        <w:pStyle w:val="EndNoteBibliography"/>
        <w:widowControl w:val="0"/>
        <w:spacing w:after="240" w:line="480" w:lineRule="auto"/>
        <w:jc w:val="left"/>
        <w:rPr>
          <w:rFonts w:ascii="Times New Roman" w:hAnsi="Times New Roman" w:cs="Times New Roman"/>
          <w:sz w:val="24"/>
          <w:szCs w:val="24"/>
          <w:lang w:val="pt-BR"/>
        </w:rPr>
      </w:pPr>
      <w:r w:rsidRPr="0096792B">
        <w:rPr>
          <w:rFonts w:ascii="Times New Roman" w:hAnsi="Times New Roman" w:cs="Times New Roman"/>
          <w:sz w:val="24"/>
          <w:szCs w:val="24"/>
        </w:rPr>
        <w:t xml:space="preserve">YUAN, F.; WOODMAN, R. W. Innovative behavior in the workplace: the role of performance and image outcome expectations. </w:t>
      </w:r>
      <w:r w:rsidRPr="0032111F">
        <w:rPr>
          <w:rFonts w:ascii="Times New Roman" w:hAnsi="Times New Roman" w:cs="Times New Roman"/>
          <w:b/>
          <w:sz w:val="24"/>
          <w:szCs w:val="24"/>
          <w:lang w:val="pt-BR"/>
        </w:rPr>
        <w:t xml:space="preserve">Academy of Management Journal, </w:t>
      </w:r>
      <w:r w:rsidRPr="0032111F">
        <w:rPr>
          <w:rFonts w:ascii="Times New Roman" w:hAnsi="Times New Roman" w:cs="Times New Roman"/>
          <w:sz w:val="24"/>
          <w:szCs w:val="24"/>
          <w:lang w:val="pt-BR"/>
        </w:rPr>
        <w:t>v. 53, n. 2, p. 323-342, Apr 2010.</w:t>
      </w:r>
    </w:p>
    <w:sectPr w:rsidR="007C7892" w:rsidRPr="0032111F" w:rsidSect="009C469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30B5" w:rsidRDefault="007230B5" w:rsidP="007B3D02">
      <w:pPr>
        <w:spacing w:after="0" w:line="240" w:lineRule="auto"/>
      </w:pPr>
      <w:r>
        <w:separator/>
      </w:r>
    </w:p>
  </w:endnote>
  <w:endnote w:type="continuationSeparator" w:id="0">
    <w:p w:rsidR="007230B5" w:rsidRDefault="007230B5" w:rsidP="007B3D02">
      <w:pPr>
        <w:spacing w:after="0" w:line="240" w:lineRule="auto"/>
      </w:pPr>
      <w:r>
        <w:continuationSeparator/>
      </w:r>
    </w:p>
  </w:endnote>
  <w:endnote w:id="1">
    <w:p w:rsidR="00096FC7" w:rsidRDefault="00096FC7">
      <w:pPr>
        <w:pStyle w:val="Textodenotadefim"/>
      </w:pPr>
      <w:r>
        <w:rPr>
          <w:rStyle w:val="Refdenotadefim"/>
        </w:rPr>
        <w:endnoteRef/>
      </w:r>
      <w:r>
        <w:t xml:space="preserve"> </w:t>
      </w:r>
      <w:r w:rsidRPr="008F6622">
        <w:rPr>
          <w:rFonts w:ascii="Times New Roman" w:hAnsi="Times New Roman" w:cs="Times New Roman"/>
        </w:rPr>
        <w:t xml:space="preserve">No Manual de Oslo </w:t>
      </w:r>
      <w:r w:rsidRPr="008F6622">
        <w:rPr>
          <w:rFonts w:ascii="Times New Roman" w:hAnsi="Times New Roman" w:cs="Times New Roman"/>
          <w:noProof/>
        </w:rPr>
        <w:t>(O</w:t>
      </w:r>
      <w:r>
        <w:rPr>
          <w:rFonts w:ascii="Times New Roman" w:hAnsi="Times New Roman" w:cs="Times New Roman"/>
          <w:noProof/>
        </w:rPr>
        <w:t>CDE</w:t>
      </w:r>
      <w:r w:rsidRPr="008F6622">
        <w:rPr>
          <w:rFonts w:ascii="Times New Roman" w:hAnsi="Times New Roman" w:cs="Times New Roman"/>
          <w:noProof/>
        </w:rPr>
        <w:t>, 2005a, p. 61)</w:t>
      </w:r>
      <w:r w:rsidRPr="008F6622">
        <w:rPr>
          <w:rFonts w:ascii="Times New Roman" w:hAnsi="Times New Roman" w:cs="Times New Roman"/>
        </w:rPr>
        <w:t xml:space="preserve">, inovação organizacional se refere à “implementação de um novo método organizacional nas práticas de negócios da empresa [rotinas e procedimentos], na organização do seu local de trabalho [distribuição de responsabilidades e poder de decisão] ou em suas relações externas [com outras firmas e instituições públicas]”. Em termos gerais, </w:t>
      </w:r>
      <w:r>
        <w:rPr>
          <w:rFonts w:ascii="Times New Roman" w:hAnsi="Times New Roman" w:cs="Times New Roman"/>
        </w:rPr>
        <w:t xml:space="preserve">o termo </w:t>
      </w:r>
      <w:r w:rsidRPr="008F6622">
        <w:rPr>
          <w:rFonts w:ascii="Times New Roman" w:hAnsi="Times New Roman" w:cs="Times New Roman"/>
        </w:rPr>
        <w:t xml:space="preserve">inovação organizacional pode ser considerado sinônimo de inovação gerencial e inovação administrativa </w:t>
      </w:r>
      <w:r w:rsidRPr="008F6622">
        <w:rPr>
          <w:rFonts w:ascii="Times New Roman" w:hAnsi="Times New Roman" w:cs="Times New Roman"/>
          <w:noProof/>
        </w:rPr>
        <w:t>(</w:t>
      </w:r>
      <w:r>
        <w:rPr>
          <w:rFonts w:ascii="Times New Roman" w:hAnsi="Times New Roman" w:cs="Times New Roman"/>
          <w:noProof/>
        </w:rPr>
        <w:t>DAMANPOUR, 2014</w:t>
      </w:r>
      <w:r w:rsidRPr="008F6622">
        <w:rPr>
          <w:rFonts w:ascii="Times New Roman" w:hAnsi="Times New Roman" w:cs="Times New Roman"/>
          <w:noProof/>
        </w:rPr>
        <w:t>)</w:t>
      </w:r>
      <w:r w:rsidRPr="008F6622">
        <w:rPr>
          <w:rFonts w:ascii="Times New Roman" w:hAnsi="Times New Roman" w:cs="Times New Roman"/>
        </w:rPr>
        <w:t>.</w:t>
      </w:r>
    </w:p>
  </w:endnote>
  <w:endnote w:id="2">
    <w:p w:rsidR="00096FC7" w:rsidRDefault="00096FC7">
      <w:pPr>
        <w:pStyle w:val="Textodenotadefim"/>
      </w:pPr>
      <w:r>
        <w:rPr>
          <w:rStyle w:val="Refdenotadefim"/>
        </w:rPr>
        <w:endnoteRef/>
      </w:r>
      <w:r>
        <w:t xml:space="preserve"> </w:t>
      </w:r>
      <w:r w:rsidRPr="001F2ECA">
        <w:rPr>
          <w:rFonts w:ascii="Times New Roman" w:hAnsi="Times New Roman" w:cs="Times New Roman"/>
        </w:rPr>
        <w:t xml:space="preserve">CLT </w:t>
      </w:r>
      <w:r w:rsidRPr="002546DE">
        <w:rPr>
          <w:rFonts w:ascii="Times New Roman" w:hAnsi="Times New Roman" w:cs="Times New Roman"/>
          <w:i/>
        </w:rPr>
        <w:t>flex</w:t>
      </w:r>
      <w:r w:rsidRPr="001F2ECA">
        <w:rPr>
          <w:rFonts w:ascii="Times New Roman" w:hAnsi="Times New Roman" w:cs="Times New Roman"/>
        </w:rPr>
        <w:t xml:space="preserve"> ocorre quando o empregador assina a carteira do empregado com um valor menor de salário, oferecendo em contrapartida uma série de benefícios.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115509"/>
      <w:docPartObj>
        <w:docPartGallery w:val="Page Numbers (Bottom of Page)"/>
        <w:docPartUnique/>
      </w:docPartObj>
    </w:sdtPr>
    <w:sdtEndPr/>
    <w:sdtContent>
      <w:p w:rsidR="00096FC7" w:rsidRDefault="00096FC7">
        <w:pPr>
          <w:pStyle w:val="Rodap"/>
          <w:jc w:val="right"/>
        </w:pPr>
        <w:r w:rsidRPr="00ED36F3">
          <w:rPr>
            <w:rFonts w:ascii="Times New Roman" w:hAnsi="Times New Roman" w:cs="Times New Roman"/>
            <w:sz w:val="24"/>
            <w:szCs w:val="24"/>
          </w:rPr>
          <w:fldChar w:fldCharType="begin"/>
        </w:r>
        <w:r w:rsidRPr="00ED36F3">
          <w:rPr>
            <w:rFonts w:ascii="Times New Roman" w:hAnsi="Times New Roman" w:cs="Times New Roman"/>
            <w:sz w:val="24"/>
            <w:szCs w:val="24"/>
          </w:rPr>
          <w:instrText xml:space="preserve"> PAGE   \* MERGEFORMAT </w:instrText>
        </w:r>
        <w:r w:rsidRPr="00ED36F3">
          <w:rPr>
            <w:rFonts w:ascii="Times New Roman" w:hAnsi="Times New Roman" w:cs="Times New Roman"/>
            <w:sz w:val="24"/>
            <w:szCs w:val="24"/>
          </w:rPr>
          <w:fldChar w:fldCharType="separate"/>
        </w:r>
        <w:r w:rsidR="006B300E">
          <w:rPr>
            <w:rFonts w:ascii="Times New Roman" w:hAnsi="Times New Roman" w:cs="Times New Roman"/>
            <w:noProof/>
            <w:sz w:val="24"/>
            <w:szCs w:val="24"/>
          </w:rPr>
          <w:t>21</w:t>
        </w:r>
        <w:r w:rsidRPr="00ED36F3">
          <w:rPr>
            <w:rFonts w:ascii="Times New Roman" w:hAnsi="Times New Roman" w:cs="Times New Roman"/>
            <w:sz w:val="24"/>
            <w:szCs w:val="24"/>
          </w:rPr>
          <w:fldChar w:fldCharType="end"/>
        </w:r>
      </w:p>
    </w:sdtContent>
  </w:sdt>
  <w:p w:rsidR="00096FC7" w:rsidRDefault="00096FC7">
    <w:pPr>
      <w:pStyle w:val="Rodap"/>
    </w:pPr>
  </w:p>
  <w:p w:rsidR="00096FC7" w:rsidRDefault="00096FC7"/>
  <w:p w:rsidR="00096FC7" w:rsidRDefault="00096FC7"/>
  <w:p w:rsidR="00096FC7" w:rsidRDefault="00096FC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30B5" w:rsidRDefault="007230B5" w:rsidP="007B3D02">
      <w:pPr>
        <w:spacing w:after="0" w:line="240" w:lineRule="auto"/>
      </w:pPr>
      <w:r>
        <w:separator/>
      </w:r>
    </w:p>
  </w:footnote>
  <w:footnote w:type="continuationSeparator" w:id="0">
    <w:p w:rsidR="007230B5" w:rsidRDefault="007230B5" w:rsidP="007B3D02">
      <w:pPr>
        <w:spacing w:after="0" w:line="240" w:lineRule="auto"/>
      </w:pPr>
      <w:r>
        <w:continuationSeparator/>
      </w:r>
    </w:p>
  </w:footnote>
  <w:footnote w:id="1">
    <w:p w:rsidR="00096FC7" w:rsidRPr="008F6622" w:rsidRDefault="00096FC7" w:rsidP="00773ED5">
      <w:pPr>
        <w:pStyle w:val="Textodenotaderodap"/>
        <w:jc w:val="both"/>
        <w:rPr>
          <w:rFonts w:ascii="Times New Roman" w:hAnsi="Times New Roman" w:cs="Times New Roman"/>
        </w:rPr>
      </w:pPr>
      <w:r w:rsidRPr="008F6622">
        <w:rPr>
          <w:rStyle w:val="Refdenotaderodap"/>
          <w:rFonts w:ascii="Times New Roman" w:hAnsi="Times New Roman" w:cs="Times New Roman"/>
        </w:rPr>
        <w:footnoteRef/>
      </w:r>
      <w:r w:rsidRPr="008F6622">
        <w:rPr>
          <w:rFonts w:ascii="Times New Roman" w:hAnsi="Times New Roman" w:cs="Times New Roman"/>
        </w:rPr>
        <w:t xml:space="preserve"> Relatório Indica-TI disponível em: </w:t>
      </w:r>
      <w:r w:rsidRPr="000008B3">
        <w:rPr>
          <w:rFonts w:ascii="Times New Roman" w:hAnsi="Times New Roman" w:cs="Times New Roman"/>
        </w:rPr>
        <w:t>http://www.sindinfor.org.br/paginas/view/indica_ti.html</w:t>
      </w:r>
      <w:r>
        <w:rPr>
          <w:rFonts w:ascii="Times New Roman" w:hAnsi="Times New Roman" w:cs="Times New Roman"/>
        </w:rPr>
        <w:t>.</w:t>
      </w:r>
      <w:r w:rsidRPr="008F6622">
        <w:rPr>
          <w:rFonts w:ascii="Times New Roman" w:hAnsi="Times New Roman" w:cs="Times New Roman"/>
        </w:rPr>
        <w:t xml:space="preserve"> Acesso em: </w:t>
      </w:r>
      <w:r>
        <w:rPr>
          <w:rFonts w:ascii="Times New Roman" w:hAnsi="Times New Roman" w:cs="Times New Roman"/>
        </w:rPr>
        <w:t>21</w:t>
      </w:r>
      <w:r w:rsidRPr="008F6622">
        <w:rPr>
          <w:rFonts w:ascii="Times New Roman" w:hAnsi="Times New Roman" w:cs="Times New Roman"/>
        </w:rPr>
        <w:t xml:space="preserve"> de </w:t>
      </w:r>
      <w:r>
        <w:rPr>
          <w:rFonts w:ascii="Times New Roman" w:hAnsi="Times New Roman" w:cs="Times New Roman"/>
        </w:rPr>
        <w:t xml:space="preserve">abril </w:t>
      </w:r>
      <w:r w:rsidRPr="008F6622">
        <w:rPr>
          <w:rFonts w:ascii="Times New Roman" w:hAnsi="Times New Roman" w:cs="Times New Roman"/>
        </w:rPr>
        <w:t>de 201</w:t>
      </w:r>
      <w:r>
        <w:rPr>
          <w:rFonts w:ascii="Times New Roman" w:hAnsi="Times New Roman" w:cs="Times New Roman"/>
        </w:rPr>
        <w:t>8</w:t>
      </w:r>
      <w:r w:rsidRPr="008F6622">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0305D9"/>
    <w:multiLevelType w:val="multilevel"/>
    <w:tmpl w:val="23D06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6787054"/>
    <w:multiLevelType w:val="hybridMultilevel"/>
    <w:tmpl w:val="2B82811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5A536D72"/>
    <w:multiLevelType w:val="hybridMultilevel"/>
    <w:tmpl w:val="0DD27EE0"/>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08"/>
  <w:hyphenationZone w:val="425"/>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7B3D02"/>
    <w:rsid w:val="000008B3"/>
    <w:rsid w:val="000009A4"/>
    <w:rsid w:val="000052C6"/>
    <w:rsid w:val="00011048"/>
    <w:rsid w:val="00013E5A"/>
    <w:rsid w:val="00020577"/>
    <w:rsid w:val="00021234"/>
    <w:rsid w:val="000271D7"/>
    <w:rsid w:val="00036A11"/>
    <w:rsid w:val="0003756E"/>
    <w:rsid w:val="000378D1"/>
    <w:rsid w:val="00041CB5"/>
    <w:rsid w:val="00043ED8"/>
    <w:rsid w:val="00043EE0"/>
    <w:rsid w:val="00045132"/>
    <w:rsid w:val="00045758"/>
    <w:rsid w:val="00045F12"/>
    <w:rsid w:val="000528BE"/>
    <w:rsid w:val="00054997"/>
    <w:rsid w:val="0006144B"/>
    <w:rsid w:val="00063AD5"/>
    <w:rsid w:val="00063CE2"/>
    <w:rsid w:val="000640F1"/>
    <w:rsid w:val="000650C6"/>
    <w:rsid w:val="000651BB"/>
    <w:rsid w:val="00065CA9"/>
    <w:rsid w:val="00071906"/>
    <w:rsid w:val="00071F7E"/>
    <w:rsid w:val="00074907"/>
    <w:rsid w:val="00075870"/>
    <w:rsid w:val="00080A2D"/>
    <w:rsid w:val="00083A70"/>
    <w:rsid w:val="00092E33"/>
    <w:rsid w:val="00095489"/>
    <w:rsid w:val="00095C49"/>
    <w:rsid w:val="00096D37"/>
    <w:rsid w:val="00096FC7"/>
    <w:rsid w:val="000A097B"/>
    <w:rsid w:val="000A12D2"/>
    <w:rsid w:val="000A6CDF"/>
    <w:rsid w:val="000B0B44"/>
    <w:rsid w:val="000B119A"/>
    <w:rsid w:val="000B561F"/>
    <w:rsid w:val="000B59BC"/>
    <w:rsid w:val="000B61BD"/>
    <w:rsid w:val="000B6425"/>
    <w:rsid w:val="000B7F02"/>
    <w:rsid w:val="000C3942"/>
    <w:rsid w:val="000C54F5"/>
    <w:rsid w:val="000D7A9E"/>
    <w:rsid w:val="000E0244"/>
    <w:rsid w:val="000E248D"/>
    <w:rsid w:val="000F2AA2"/>
    <w:rsid w:val="000F3FEE"/>
    <w:rsid w:val="001006A1"/>
    <w:rsid w:val="001006D4"/>
    <w:rsid w:val="00103F0C"/>
    <w:rsid w:val="00107C5C"/>
    <w:rsid w:val="001113C5"/>
    <w:rsid w:val="00111FC8"/>
    <w:rsid w:val="001122EE"/>
    <w:rsid w:val="00115647"/>
    <w:rsid w:val="00116B8F"/>
    <w:rsid w:val="0012019F"/>
    <w:rsid w:val="00120586"/>
    <w:rsid w:val="001238A2"/>
    <w:rsid w:val="00124675"/>
    <w:rsid w:val="00125C8E"/>
    <w:rsid w:val="0012622F"/>
    <w:rsid w:val="001309EC"/>
    <w:rsid w:val="00130C34"/>
    <w:rsid w:val="00131127"/>
    <w:rsid w:val="00132D8E"/>
    <w:rsid w:val="0013459A"/>
    <w:rsid w:val="00142875"/>
    <w:rsid w:val="00152725"/>
    <w:rsid w:val="00153927"/>
    <w:rsid w:val="0015640A"/>
    <w:rsid w:val="001665FF"/>
    <w:rsid w:val="00170992"/>
    <w:rsid w:val="00172642"/>
    <w:rsid w:val="00177068"/>
    <w:rsid w:val="00191004"/>
    <w:rsid w:val="00196646"/>
    <w:rsid w:val="001A0D8E"/>
    <w:rsid w:val="001A1F7D"/>
    <w:rsid w:val="001A42B8"/>
    <w:rsid w:val="001B28D1"/>
    <w:rsid w:val="001B2DF0"/>
    <w:rsid w:val="001B70BE"/>
    <w:rsid w:val="001C02DA"/>
    <w:rsid w:val="001C0EBB"/>
    <w:rsid w:val="001C4F28"/>
    <w:rsid w:val="001C6F37"/>
    <w:rsid w:val="001E201E"/>
    <w:rsid w:val="001E296D"/>
    <w:rsid w:val="001E2FCD"/>
    <w:rsid w:val="001E6D67"/>
    <w:rsid w:val="001F1EA9"/>
    <w:rsid w:val="001F2ECA"/>
    <w:rsid w:val="001F44C9"/>
    <w:rsid w:val="001F5836"/>
    <w:rsid w:val="0020010E"/>
    <w:rsid w:val="0020570E"/>
    <w:rsid w:val="0021087D"/>
    <w:rsid w:val="00223D2B"/>
    <w:rsid w:val="00223E3E"/>
    <w:rsid w:val="00226105"/>
    <w:rsid w:val="00232095"/>
    <w:rsid w:val="00235A81"/>
    <w:rsid w:val="002470CB"/>
    <w:rsid w:val="0025013D"/>
    <w:rsid w:val="002503AA"/>
    <w:rsid w:val="00251E87"/>
    <w:rsid w:val="002546C9"/>
    <w:rsid w:val="002546DE"/>
    <w:rsid w:val="002547ED"/>
    <w:rsid w:val="002577B3"/>
    <w:rsid w:val="0026048E"/>
    <w:rsid w:val="00260616"/>
    <w:rsid w:val="00265DC6"/>
    <w:rsid w:val="00270523"/>
    <w:rsid w:val="00271C97"/>
    <w:rsid w:val="00272A39"/>
    <w:rsid w:val="002765AB"/>
    <w:rsid w:val="00291D5B"/>
    <w:rsid w:val="00291EE1"/>
    <w:rsid w:val="002A485B"/>
    <w:rsid w:val="002A6BAD"/>
    <w:rsid w:val="002B474A"/>
    <w:rsid w:val="002C7643"/>
    <w:rsid w:val="002D0E59"/>
    <w:rsid w:val="002D73AC"/>
    <w:rsid w:val="002E518B"/>
    <w:rsid w:val="002E529D"/>
    <w:rsid w:val="002E6EEC"/>
    <w:rsid w:val="002E7A51"/>
    <w:rsid w:val="002F33F8"/>
    <w:rsid w:val="002F49AF"/>
    <w:rsid w:val="002F76D0"/>
    <w:rsid w:val="0030234A"/>
    <w:rsid w:val="00312647"/>
    <w:rsid w:val="0032019F"/>
    <w:rsid w:val="003204C8"/>
    <w:rsid w:val="00320BD8"/>
    <w:rsid w:val="0032111F"/>
    <w:rsid w:val="003212A6"/>
    <w:rsid w:val="0032358B"/>
    <w:rsid w:val="003239A4"/>
    <w:rsid w:val="00324098"/>
    <w:rsid w:val="00326242"/>
    <w:rsid w:val="003348D2"/>
    <w:rsid w:val="003360AD"/>
    <w:rsid w:val="0033719A"/>
    <w:rsid w:val="003414A3"/>
    <w:rsid w:val="00343D3B"/>
    <w:rsid w:val="00345B16"/>
    <w:rsid w:val="003475DC"/>
    <w:rsid w:val="003528CB"/>
    <w:rsid w:val="003572A5"/>
    <w:rsid w:val="00362114"/>
    <w:rsid w:val="00363513"/>
    <w:rsid w:val="00372CA1"/>
    <w:rsid w:val="00373018"/>
    <w:rsid w:val="0037457B"/>
    <w:rsid w:val="00375612"/>
    <w:rsid w:val="00377267"/>
    <w:rsid w:val="00383C89"/>
    <w:rsid w:val="003927F3"/>
    <w:rsid w:val="00392FBA"/>
    <w:rsid w:val="003962E8"/>
    <w:rsid w:val="00396B0D"/>
    <w:rsid w:val="003A06A5"/>
    <w:rsid w:val="003A1B1C"/>
    <w:rsid w:val="003A1F22"/>
    <w:rsid w:val="003A27AC"/>
    <w:rsid w:val="003A291F"/>
    <w:rsid w:val="003A4F4D"/>
    <w:rsid w:val="003A5BC6"/>
    <w:rsid w:val="003A5FA4"/>
    <w:rsid w:val="003B361E"/>
    <w:rsid w:val="003C36AA"/>
    <w:rsid w:val="003C5D99"/>
    <w:rsid w:val="003C6F75"/>
    <w:rsid w:val="003C7214"/>
    <w:rsid w:val="003E1816"/>
    <w:rsid w:val="003E6394"/>
    <w:rsid w:val="003F0CB4"/>
    <w:rsid w:val="004009CC"/>
    <w:rsid w:val="00402338"/>
    <w:rsid w:val="00404ED7"/>
    <w:rsid w:val="0041299E"/>
    <w:rsid w:val="0042510B"/>
    <w:rsid w:val="0042649D"/>
    <w:rsid w:val="00430BF8"/>
    <w:rsid w:val="0043385B"/>
    <w:rsid w:val="0043414E"/>
    <w:rsid w:val="00437E6D"/>
    <w:rsid w:val="00457384"/>
    <w:rsid w:val="004600F2"/>
    <w:rsid w:val="004707AA"/>
    <w:rsid w:val="0047094E"/>
    <w:rsid w:val="0048226E"/>
    <w:rsid w:val="00482A20"/>
    <w:rsid w:val="00483167"/>
    <w:rsid w:val="0049340E"/>
    <w:rsid w:val="004939AB"/>
    <w:rsid w:val="00494408"/>
    <w:rsid w:val="00496CA3"/>
    <w:rsid w:val="00497115"/>
    <w:rsid w:val="004A2516"/>
    <w:rsid w:val="004A5F43"/>
    <w:rsid w:val="004B10EE"/>
    <w:rsid w:val="004B56DC"/>
    <w:rsid w:val="004B69AB"/>
    <w:rsid w:val="004C16C8"/>
    <w:rsid w:val="004C2C28"/>
    <w:rsid w:val="004C32F9"/>
    <w:rsid w:val="004C3F82"/>
    <w:rsid w:val="004C410C"/>
    <w:rsid w:val="004C4AFA"/>
    <w:rsid w:val="004C76DE"/>
    <w:rsid w:val="004D0AD6"/>
    <w:rsid w:val="004D3599"/>
    <w:rsid w:val="004D6DEA"/>
    <w:rsid w:val="004E5849"/>
    <w:rsid w:val="004E6083"/>
    <w:rsid w:val="004E622A"/>
    <w:rsid w:val="004F1037"/>
    <w:rsid w:val="004F2C5C"/>
    <w:rsid w:val="004F43E5"/>
    <w:rsid w:val="004F6C23"/>
    <w:rsid w:val="004F6C8D"/>
    <w:rsid w:val="005001B0"/>
    <w:rsid w:val="00515877"/>
    <w:rsid w:val="00516715"/>
    <w:rsid w:val="0052287B"/>
    <w:rsid w:val="0052653A"/>
    <w:rsid w:val="00530B03"/>
    <w:rsid w:val="00531230"/>
    <w:rsid w:val="005364D8"/>
    <w:rsid w:val="00537237"/>
    <w:rsid w:val="00537CA7"/>
    <w:rsid w:val="00543CF3"/>
    <w:rsid w:val="00555B6A"/>
    <w:rsid w:val="00555F4F"/>
    <w:rsid w:val="00560FA0"/>
    <w:rsid w:val="0056385B"/>
    <w:rsid w:val="0056731D"/>
    <w:rsid w:val="0057164B"/>
    <w:rsid w:val="0057306C"/>
    <w:rsid w:val="00581D57"/>
    <w:rsid w:val="005836C6"/>
    <w:rsid w:val="0058575B"/>
    <w:rsid w:val="00586BB1"/>
    <w:rsid w:val="00591A94"/>
    <w:rsid w:val="00595A9C"/>
    <w:rsid w:val="005A30E2"/>
    <w:rsid w:val="005A59E6"/>
    <w:rsid w:val="005B3A19"/>
    <w:rsid w:val="005B42E6"/>
    <w:rsid w:val="005B68AC"/>
    <w:rsid w:val="005B7DED"/>
    <w:rsid w:val="005B7FF7"/>
    <w:rsid w:val="005C029C"/>
    <w:rsid w:val="005C0C8A"/>
    <w:rsid w:val="005C67AE"/>
    <w:rsid w:val="005D004C"/>
    <w:rsid w:val="005D0139"/>
    <w:rsid w:val="005D1CF1"/>
    <w:rsid w:val="005D2F53"/>
    <w:rsid w:val="005D30CF"/>
    <w:rsid w:val="005D5146"/>
    <w:rsid w:val="005E2D23"/>
    <w:rsid w:val="005F0FD5"/>
    <w:rsid w:val="005F3B43"/>
    <w:rsid w:val="005F6DDF"/>
    <w:rsid w:val="005F742B"/>
    <w:rsid w:val="006020FB"/>
    <w:rsid w:val="006075C2"/>
    <w:rsid w:val="00607A4B"/>
    <w:rsid w:val="006101A1"/>
    <w:rsid w:val="0061049D"/>
    <w:rsid w:val="006114A1"/>
    <w:rsid w:val="00613C22"/>
    <w:rsid w:val="00614FFA"/>
    <w:rsid w:val="00617449"/>
    <w:rsid w:val="00620EF8"/>
    <w:rsid w:val="0062540C"/>
    <w:rsid w:val="00626223"/>
    <w:rsid w:val="00633A5C"/>
    <w:rsid w:val="006374CF"/>
    <w:rsid w:val="00641734"/>
    <w:rsid w:val="00651290"/>
    <w:rsid w:val="00651FD1"/>
    <w:rsid w:val="006529DD"/>
    <w:rsid w:val="006536C2"/>
    <w:rsid w:val="00654ABB"/>
    <w:rsid w:val="006652E7"/>
    <w:rsid w:val="00665547"/>
    <w:rsid w:val="00666882"/>
    <w:rsid w:val="00666A83"/>
    <w:rsid w:val="00667E44"/>
    <w:rsid w:val="00680D37"/>
    <w:rsid w:val="00681AC0"/>
    <w:rsid w:val="00686B9F"/>
    <w:rsid w:val="00687446"/>
    <w:rsid w:val="006911F3"/>
    <w:rsid w:val="006915D2"/>
    <w:rsid w:val="00695904"/>
    <w:rsid w:val="00696442"/>
    <w:rsid w:val="006A7CB7"/>
    <w:rsid w:val="006B300E"/>
    <w:rsid w:val="006B4292"/>
    <w:rsid w:val="006C2D68"/>
    <w:rsid w:val="006C3A8C"/>
    <w:rsid w:val="006C6FE4"/>
    <w:rsid w:val="006D026F"/>
    <w:rsid w:val="006D1549"/>
    <w:rsid w:val="006D175B"/>
    <w:rsid w:val="006D1A2F"/>
    <w:rsid w:val="006D524F"/>
    <w:rsid w:val="006D55A6"/>
    <w:rsid w:val="006E0358"/>
    <w:rsid w:val="006E589A"/>
    <w:rsid w:val="006E5EA0"/>
    <w:rsid w:val="006E62B9"/>
    <w:rsid w:val="006F18A5"/>
    <w:rsid w:val="006F1E85"/>
    <w:rsid w:val="00701227"/>
    <w:rsid w:val="00705620"/>
    <w:rsid w:val="00710860"/>
    <w:rsid w:val="007226B0"/>
    <w:rsid w:val="007230B5"/>
    <w:rsid w:val="00725E69"/>
    <w:rsid w:val="00730382"/>
    <w:rsid w:val="0073344D"/>
    <w:rsid w:val="007340EC"/>
    <w:rsid w:val="00747A8D"/>
    <w:rsid w:val="00747D67"/>
    <w:rsid w:val="0075055C"/>
    <w:rsid w:val="00750DF3"/>
    <w:rsid w:val="0075234F"/>
    <w:rsid w:val="0075414D"/>
    <w:rsid w:val="007564B0"/>
    <w:rsid w:val="0075664B"/>
    <w:rsid w:val="00760552"/>
    <w:rsid w:val="00766832"/>
    <w:rsid w:val="00770390"/>
    <w:rsid w:val="007729EC"/>
    <w:rsid w:val="00773ED5"/>
    <w:rsid w:val="00775284"/>
    <w:rsid w:val="007759FD"/>
    <w:rsid w:val="007764AD"/>
    <w:rsid w:val="00777CD5"/>
    <w:rsid w:val="007808AE"/>
    <w:rsid w:val="00781BB4"/>
    <w:rsid w:val="007851AE"/>
    <w:rsid w:val="0078785E"/>
    <w:rsid w:val="00790254"/>
    <w:rsid w:val="007934BF"/>
    <w:rsid w:val="00793E30"/>
    <w:rsid w:val="007976D9"/>
    <w:rsid w:val="007A2379"/>
    <w:rsid w:val="007A5DEF"/>
    <w:rsid w:val="007A69D0"/>
    <w:rsid w:val="007B0608"/>
    <w:rsid w:val="007B3D02"/>
    <w:rsid w:val="007B490B"/>
    <w:rsid w:val="007B4FFB"/>
    <w:rsid w:val="007C2E60"/>
    <w:rsid w:val="007C3A7C"/>
    <w:rsid w:val="007C3E03"/>
    <w:rsid w:val="007C435C"/>
    <w:rsid w:val="007C4F23"/>
    <w:rsid w:val="007C7892"/>
    <w:rsid w:val="007D0456"/>
    <w:rsid w:val="007D06D4"/>
    <w:rsid w:val="007D2862"/>
    <w:rsid w:val="007D379A"/>
    <w:rsid w:val="007D5A20"/>
    <w:rsid w:val="007D6767"/>
    <w:rsid w:val="007E22F4"/>
    <w:rsid w:val="007E758B"/>
    <w:rsid w:val="007F039C"/>
    <w:rsid w:val="007F223C"/>
    <w:rsid w:val="007F7192"/>
    <w:rsid w:val="008015D8"/>
    <w:rsid w:val="00804F31"/>
    <w:rsid w:val="0081493B"/>
    <w:rsid w:val="008160AC"/>
    <w:rsid w:val="0081673A"/>
    <w:rsid w:val="00817A4A"/>
    <w:rsid w:val="00826DC2"/>
    <w:rsid w:val="00827CEB"/>
    <w:rsid w:val="008343CE"/>
    <w:rsid w:val="0083441F"/>
    <w:rsid w:val="00844DAE"/>
    <w:rsid w:val="008535D4"/>
    <w:rsid w:val="00854BCA"/>
    <w:rsid w:val="00855B85"/>
    <w:rsid w:val="00855E9C"/>
    <w:rsid w:val="008565C2"/>
    <w:rsid w:val="008607E3"/>
    <w:rsid w:val="00867017"/>
    <w:rsid w:val="0086771C"/>
    <w:rsid w:val="00867D7B"/>
    <w:rsid w:val="008723D6"/>
    <w:rsid w:val="008865B4"/>
    <w:rsid w:val="008865FE"/>
    <w:rsid w:val="00890255"/>
    <w:rsid w:val="00890789"/>
    <w:rsid w:val="00894902"/>
    <w:rsid w:val="00894DA8"/>
    <w:rsid w:val="008964C7"/>
    <w:rsid w:val="0089673C"/>
    <w:rsid w:val="008A1DAE"/>
    <w:rsid w:val="008A59D9"/>
    <w:rsid w:val="008A5E07"/>
    <w:rsid w:val="008A689B"/>
    <w:rsid w:val="008B15CD"/>
    <w:rsid w:val="008B26C0"/>
    <w:rsid w:val="008B6288"/>
    <w:rsid w:val="008C5DC1"/>
    <w:rsid w:val="008C66E9"/>
    <w:rsid w:val="008D1F77"/>
    <w:rsid w:val="008D2E96"/>
    <w:rsid w:val="008E1C33"/>
    <w:rsid w:val="008E3018"/>
    <w:rsid w:val="008E3609"/>
    <w:rsid w:val="008F0CAC"/>
    <w:rsid w:val="00901DF6"/>
    <w:rsid w:val="00902064"/>
    <w:rsid w:val="00902A6C"/>
    <w:rsid w:val="0090458A"/>
    <w:rsid w:val="009046CC"/>
    <w:rsid w:val="009048FE"/>
    <w:rsid w:val="0091095D"/>
    <w:rsid w:val="00912132"/>
    <w:rsid w:val="00912EDB"/>
    <w:rsid w:val="00915613"/>
    <w:rsid w:val="00922A98"/>
    <w:rsid w:val="00922F7D"/>
    <w:rsid w:val="00923904"/>
    <w:rsid w:val="00924791"/>
    <w:rsid w:val="00925726"/>
    <w:rsid w:val="00927593"/>
    <w:rsid w:val="00930DB7"/>
    <w:rsid w:val="00931FA8"/>
    <w:rsid w:val="00933568"/>
    <w:rsid w:val="00942A8F"/>
    <w:rsid w:val="00943BB2"/>
    <w:rsid w:val="009517A8"/>
    <w:rsid w:val="00953450"/>
    <w:rsid w:val="00956CE4"/>
    <w:rsid w:val="009574D7"/>
    <w:rsid w:val="00957743"/>
    <w:rsid w:val="00957774"/>
    <w:rsid w:val="0096792B"/>
    <w:rsid w:val="009773A8"/>
    <w:rsid w:val="009875C2"/>
    <w:rsid w:val="009968B0"/>
    <w:rsid w:val="009A0CA5"/>
    <w:rsid w:val="009C1F58"/>
    <w:rsid w:val="009C3039"/>
    <w:rsid w:val="009C4693"/>
    <w:rsid w:val="009C6809"/>
    <w:rsid w:val="009C758B"/>
    <w:rsid w:val="009D0F1A"/>
    <w:rsid w:val="009D30BD"/>
    <w:rsid w:val="009E45E2"/>
    <w:rsid w:val="009E4667"/>
    <w:rsid w:val="009E553E"/>
    <w:rsid w:val="009E589E"/>
    <w:rsid w:val="009E701F"/>
    <w:rsid w:val="009E7ACD"/>
    <w:rsid w:val="009F0296"/>
    <w:rsid w:val="009F20DE"/>
    <w:rsid w:val="009F2F30"/>
    <w:rsid w:val="00A00A24"/>
    <w:rsid w:val="00A01AE3"/>
    <w:rsid w:val="00A03B2D"/>
    <w:rsid w:val="00A056B2"/>
    <w:rsid w:val="00A11B55"/>
    <w:rsid w:val="00A12E13"/>
    <w:rsid w:val="00A1300D"/>
    <w:rsid w:val="00A14854"/>
    <w:rsid w:val="00A21965"/>
    <w:rsid w:val="00A22441"/>
    <w:rsid w:val="00A230B5"/>
    <w:rsid w:val="00A26FDC"/>
    <w:rsid w:val="00A277E2"/>
    <w:rsid w:val="00A31DDD"/>
    <w:rsid w:val="00A40613"/>
    <w:rsid w:val="00A43F53"/>
    <w:rsid w:val="00A47CF1"/>
    <w:rsid w:val="00A500EC"/>
    <w:rsid w:val="00A509AF"/>
    <w:rsid w:val="00A57658"/>
    <w:rsid w:val="00A57D00"/>
    <w:rsid w:val="00A60926"/>
    <w:rsid w:val="00A7090B"/>
    <w:rsid w:val="00A82F26"/>
    <w:rsid w:val="00A91DEC"/>
    <w:rsid w:val="00A93367"/>
    <w:rsid w:val="00A95159"/>
    <w:rsid w:val="00A96D06"/>
    <w:rsid w:val="00AA2ECF"/>
    <w:rsid w:val="00AB0DD7"/>
    <w:rsid w:val="00AB73CC"/>
    <w:rsid w:val="00AC0E8F"/>
    <w:rsid w:val="00AD2CAD"/>
    <w:rsid w:val="00AD3E6D"/>
    <w:rsid w:val="00AD65EE"/>
    <w:rsid w:val="00AD6CE3"/>
    <w:rsid w:val="00AD759F"/>
    <w:rsid w:val="00AD774A"/>
    <w:rsid w:val="00AE31E8"/>
    <w:rsid w:val="00AE6830"/>
    <w:rsid w:val="00AF1577"/>
    <w:rsid w:val="00AF18B5"/>
    <w:rsid w:val="00AF20FD"/>
    <w:rsid w:val="00AF40C7"/>
    <w:rsid w:val="00B00F9C"/>
    <w:rsid w:val="00B036D5"/>
    <w:rsid w:val="00B04914"/>
    <w:rsid w:val="00B0616C"/>
    <w:rsid w:val="00B104E8"/>
    <w:rsid w:val="00B114D0"/>
    <w:rsid w:val="00B1162E"/>
    <w:rsid w:val="00B13D8E"/>
    <w:rsid w:val="00B14ED7"/>
    <w:rsid w:val="00B15251"/>
    <w:rsid w:val="00B22952"/>
    <w:rsid w:val="00B23D06"/>
    <w:rsid w:val="00B2439F"/>
    <w:rsid w:val="00B300F2"/>
    <w:rsid w:val="00B30AB6"/>
    <w:rsid w:val="00B361F2"/>
    <w:rsid w:val="00B40F8B"/>
    <w:rsid w:val="00B419F0"/>
    <w:rsid w:val="00B505A5"/>
    <w:rsid w:val="00B51BAD"/>
    <w:rsid w:val="00B51F17"/>
    <w:rsid w:val="00B52FA1"/>
    <w:rsid w:val="00B619F7"/>
    <w:rsid w:val="00B67D10"/>
    <w:rsid w:val="00B71569"/>
    <w:rsid w:val="00B73451"/>
    <w:rsid w:val="00B772DE"/>
    <w:rsid w:val="00B80089"/>
    <w:rsid w:val="00B801B3"/>
    <w:rsid w:val="00B813B0"/>
    <w:rsid w:val="00B855D1"/>
    <w:rsid w:val="00B8776D"/>
    <w:rsid w:val="00B91178"/>
    <w:rsid w:val="00B937C9"/>
    <w:rsid w:val="00B94C81"/>
    <w:rsid w:val="00B95502"/>
    <w:rsid w:val="00BA274F"/>
    <w:rsid w:val="00BB0BBB"/>
    <w:rsid w:val="00BB114F"/>
    <w:rsid w:val="00BB1A2C"/>
    <w:rsid w:val="00BB2908"/>
    <w:rsid w:val="00BB3D79"/>
    <w:rsid w:val="00BB5386"/>
    <w:rsid w:val="00BB601A"/>
    <w:rsid w:val="00BC112E"/>
    <w:rsid w:val="00BC1AAC"/>
    <w:rsid w:val="00BC33A3"/>
    <w:rsid w:val="00BC4680"/>
    <w:rsid w:val="00BD5E09"/>
    <w:rsid w:val="00BD7044"/>
    <w:rsid w:val="00BE12B8"/>
    <w:rsid w:val="00BE4A1D"/>
    <w:rsid w:val="00BF291B"/>
    <w:rsid w:val="00BF4D29"/>
    <w:rsid w:val="00BF66D5"/>
    <w:rsid w:val="00BF6D51"/>
    <w:rsid w:val="00BF7065"/>
    <w:rsid w:val="00C014FC"/>
    <w:rsid w:val="00C030C4"/>
    <w:rsid w:val="00C03563"/>
    <w:rsid w:val="00C03C16"/>
    <w:rsid w:val="00C04704"/>
    <w:rsid w:val="00C13DEA"/>
    <w:rsid w:val="00C15D0D"/>
    <w:rsid w:val="00C20197"/>
    <w:rsid w:val="00C246A9"/>
    <w:rsid w:val="00C26CBD"/>
    <w:rsid w:val="00C30399"/>
    <w:rsid w:val="00C31EC5"/>
    <w:rsid w:val="00C33420"/>
    <w:rsid w:val="00C3385B"/>
    <w:rsid w:val="00C33975"/>
    <w:rsid w:val="00C41B92"/>
    <w:rsid w:val="00C4239A"/>
    <w:rsid w:val="00C424BE"/>
    <w:rsid w:val="00C430E7"/>
    <w:rsid w:val="00C437EF"/>
    <w:rsid w:val="00C45372"/>
    <w:rsid w:val="00C53A47"/>
    <w:rsid w:val="00C565F5"/>
    <w:rsid w:val="00C56715"/>
    <w:rsid w:val="00C616D3"/>
    <w:rsid w:val="00C62A93"/>
    <w:rsid w:val="00C658D3"/>
    <w:rsid w:val="00C70A51"/>
    <w:rsid w:val="00C72409"/>
    <w:rsid w:val="00C7656B"/>
    <w:rsid w:val="00C80029"/>
    <w:rsid w:val="00C80DFE"/>
    <w:rsid w:val="00C81F9F"/>
    <w:rsid w:val="00C82C37"/>
    <w:rsid w:val="00C86FB1"/>
    <w:rsid w:val="00CA0325"/>
    <w:rsid w:val="00CA1540"/>
    <w:rsid w:val="00CA2271"/>
    <w:rsid w:val="00CA69AD"/>
    <w:rsid w:val="00CB2DBA"/>
    <w:rsid w:val="00CB35CF"/>
    <w:rsid w:val="00CB57AD"/>
    <w:rsid w:val="00CB633E"/>
    <w:rsid w:val="00CC1409"/>
    <w:rsid w:val="00CC2439"/>
    <w:rsid w:val="00CC2883"/>
    <w:rsid w:val="00CC4785"/>
    <w:rsid w:val="00CC5014"/>
    <w:rsid w:val="00CD1355"/>
    <w:rsid w:val="00CD4833"/>
    <w:rsid w:val="00CD6909"/>
    <w:rsid w:val="00CE0C2F"/>
    <w:rsid w:val="00CE3E24"/>
    <w:rsid w:val="00CE3F5B"/>
    <w:rsid w:val="00CE4D45"/>
    <w:rsid w:val="00CE51C6"/>
    <w:rsid w:val="00CE555C"/>
    <w:rsid w:val="00CE6F54"/>
    <w:rsid w:val="00CF0B0B"/>
    <w:rsid w:val="00CF107A"/>
    <w:rsid w:val="00CF6496"/>
    <w:rsid w:val="00D003A0"/>
    <w:rsid w:val="00D006E9"/>
    <w:rsid w:val="00D06E9B"/>
    <w:rsid w:val="00D10769"/>
    <w:rsid w:val="00D133F5"/>
    <w:rsid w:val="00D135C4"/>
    <w:rsid w:val="00D136FB"/>
    <w:rsid w:val="00D1420F"/>
    <w:rsid w:val="00D21030"/>
    <w:rsid w:val="00D25166"/>
    <w:rsid w:val="00D308F3"/>
    <w:rsid w:val="00D310EF"/>
    <w:rsid w:val="00D31854"/>
    <w:rsid w:val="00D33A53"/>
    <w:rsid w:val="00D4016F"/>
    <w:rsid w:val="00D408B9"/>
    <w:rsid w:val="00D4740A"/>
    <w:rsid w:val="00D54B4F"/>
    <w:rsid w:val="00D60765"/>
    <w:rsid w:val="00D6722E"/>
    <w:rsid w:val="00D67B19"/>
    <w:rsid w:val="00D71246"/>
    <w:rsid w:val="00D71AE7"/>
    <w:rsid w:val="00D73876"/>
    <w:rsid w:val="00D81D78"/>
    <w:rsid w:val="00D839FE"/>
    <w:rsid w:val="00D86253"/>
    <w:rsid w:val="00D86444"/>
    <w:rsid w:val="00D9130A"/>
    <w:rsid w:val="00D94E63"/>
    <w:rsid w:val="00D94EED"/>
    <w:rsid w:val="00D956E0"/>
    <w:rsid w:val="00DA1800"/>
    <w:rsid w:val="00DA1ED8"/>
    <w:rsid w:val="00DC0321"/>
    <w:rsid w:val="00DC2F50"/>
    <w:rsid w:val="00DC5761"/>
    <w:rsid w:val="00DC712C"/>
    <w:rsid w:val="00DD1F00"/>
    <w:rsid w:val="00DD4D64"/>
    <w:rsid w:val="00DD617C"/>
    <w:rsid w:val="00DD798B"/>
    <w:rsid w:val="00DE0553"/>
    <w:rsid w:val="00DE14A6"/>
    <w:rsid w:val="00DE6371"/>
    <w:rsid w:val="00DE7C86"/>
    <w:rsid w:val="00DF02AC"/>
    <w:rsid w:val="00DF0F36"/>
    <w:rsid w:val="00DF2603"/>
    <w:rsid w:val="00DF5B7F"/>
    <w:rsid w:val="00E0104E"/>
    <w:rsid w:val="00E11338"/>
    <w:rsid w:val="00E126F1"/>
    <w:rsid w:val="00E15ECB"/>
    <w:rsid w:val="00E161B2"/>
    <w:rsid w:val="00E2235F"/>
    <w:rsid w:val="00E27B03"/>
    <w:rsid w:val="00E37342"/>
    <w:rsid w:val="00E379FC"/>
    <w:rsid w:val="00E4008D"/>
    <w:rsid w:val="00E44304"/>
    <w:rsid w:val="00E57A59"/>
    <w:rsid w:val="00E61108"/>
    <w:rsid w:val="00E617AE"/>
    <w:rsid w:val="00E62421"/>
    <w:rsid w:val="00E62F7A"/>
    <w:rsid w:val="00E67B4C"/>
    <w:rsid w:val="00E7038E"/>
    <w:rsid w:val="00E72596"/>
    <w:rsid w:val="00E729D5"/>
    <w:rsid w:val="00E83F26"/>
    <w:rsid w:val="00E87BF3"/>
    <w:rsid w:val="00E907E7"/>
    <w:rsid w:val="00E96E38"/>
    <w:rsid w:val="00EA0438"/>
    <w:rsid w:val="00EA07EA"/>
    <w:rsid w:val="00EA44E7"/>
    <w:rsid w:val="00EB46B9"/>
    <w:rsid w:val="00EB7022"/>
    <w:rsid w:val="00EB7EF9"/>
    <w:rsid w:val="00EC21C2"/>
    <w:rsid w:val="00EC613B"/>
    <w:rsid w:val="00EC79B6"/>
    <w:rsid w:val="00ED36F3"/>
    <w:rsid w:val="00ED752C"/>
    <w:rsid w:val="00ED7631"/>
    <w:rsid w:val="00EE5831"/>
    <w:rsid w:val="00EE5CAF"/>
    <w:rsid w:val="00EF3400"/>
    <w:rsid w:val="00EF6D89"/>
    <w:rsid w:val="00F04471"/>
    <w:rsid w:val="00F066C3"/>
    <w:rsid w:val="00F06F14"/>
    <w:rsid w:val="00F12C90"/>
    <w:rsid w:val="00F17916"/>
    <w:rsid w:val="00F259CB"/>
    <w:rsid w:val="00F331DE"/>
    <w:rsid w:val="00F3620D"/>
    <w:rsid w:val="00F365CB"/>
    <w:rsid w:val="00F4007D"/>
    <w:rsid w:val="00F41004"/>
    <w:rsid w:val="00F41C6A"/>
    <w:rsid w:val="00F446E5"/>
    <w:rsid w:val="00F44DF5"/>
    <w:rsid w:val="00F44E42"/>
    <w:rsid w:val="00F468E6"/>
    <w:rsid w:val="00F5401E"/>
    <w:rsid w:val="00F54FA7"/>
    <w:rsid w:val="00F55665"/>
    <w:rsid w:val="00F65D8B"/>
    <w:rsid w:val="00F73936"/>
    <w:rsid w:val="00F744C9"/>
    <w:rsid w:val="00F80B6F"/>
    <w:rsid w:val="00F8107F"/>
    <w:rsid w:val="00F81CC1"/>
    <w:rsid w:val="00F82862"/>
    <w:rsid w:val="00F82A28"/>
    <w:rsid w:val="00F83111"/>
    <w:rsid w:val="00F83979"/>
    <w:rsid w:val="00F85838"/>
    <w:rsid w:val="00F86535"/>
    <w:rsid w:val="00F902C3"/>
    <w:rsid w:val="00F9283B"/>
    <w:rsid w:val="00F93145"/>
    <w:rsid w:val="00F93E98"/>
    <w:rsid w:val="00FB1942"/>
    <w:rsid w:val="00FB196E"/>
    <w:rsid w:val="00FB3994"/>
    <w:rsid w:val="00FB3C1B"/>
    <w:rsid w:val="00FB76AE"/>
    <w:rsid w:val="00FC0444"/>
    <w:rsid w:val="00FC3D69"/>
    <w:rsid w:val="00FD2248"/>
    <w:rsid w:val="00FD649F"/>
    <w:rsid w:val="00FE0E40"/>
    <w:rsid w:val="00FE1553"/>
    <w:rsid w:val="00FE1B59"/>
    <w:rsid w:val="00FE39BA"/>
    <w:rsid w:val="00FF1E10"/>
    <w:rsid w:val="00FF69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3D02"/>
  </w:style>
  <w:style w:type="paragraph" w:styleId="Ttulo1">
    <w:name w:val="heading 1"/>
    <w:basedOn w:val="Normal"/>
    <w:next w:val="Normal"/>
    <w:link w:val="Ttulo1Char"/>
    <w:uiPriority w:val="99"/>
    <w:qFormat/>
    <w:rsid w:val="007B3D02"/>
    <w:pPr>
      <w:keepNext/>
      <w:keepLines/>
      <w:spacing w:after="0" w:line="240" w:lineRule="auto"/>
      <w:outlineLvl w:val="0"/>
    </w:pPr>
    <w:rPr>
      <w:rFonts w:ascii="Times New Roman" w:eastAsia="Times New Roman" w:hAnsi="Times New Roman" w:cs="Times New Roman"/>
      <w:b/>
      <w:bCs/>
      <w:caps/>
      <w:sz w:val="24"/>
      <w:szCs w:val="24"/>
      <w:lang w:val="en-US"/>
    </w:rPr>
  </w:style>
  <w:style w:type="paragraph" w:styleId="Ttulo3">
    <w:name w:val="heading 3"/>
    <w:basedOn w:val="Normal"/>
    <w:next w:val="Normal"/>
    <w:link w:val="Ttulo3Char"/>
    <w:uiPriority w:val="9"/>
    <w:semiHidden/>
    <w:unhideWhenUsed/>
    <w:qFormat/>
    <w:rsid w:val="007B3D0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7B3D02"/>
    <w:rPr>
      <w:rFonts w:ascii="Times New Roman" w:eastAsia="Times New Roman" w:hAnsi="Times New Roman" w:cs="Times New Roman"/>
      <w:b/>
      <w:bCs/>
      <w:caps/>
      <w:sz w:val="24"/>
      <w:szCs w:val="24"/>
      <w:lang w:val="en-US"/>
    </w:rPr>
  </w:style>
  <w:style w:type="character" w:customStyle="1" w:styleId="Ttulo3Char">
    <w:name w:val="Título 3 Char"/>
    <w:basedOn w:val="Fontepargpadro"/>
    <w:link w:val="Ttulo3"/>
    <w:uiPriority w:val="9"/>
    <w:semiHidden/>
    <w:rsid w:val="007B3D02"/>
    <w:rPr>
      <w:rFonts w:asciiTheme="majorHAnsi" w:eastAsiaTheme="majorEastAsia" w:hAnsiTheme="majorHAnsi" w:cstheme="majorBidi"/>
      <w:color w:val="1F4D78" w:themeColor="accent1" w:themeShade="7F"/>
      <w:sz w:val="24"/>
      <w:szCs w:val="24"/>
    </w:rPr>
  </w:style>
  <w:style w:type="character" w:styleId="Refdecomentrio">
    <w:name w:val="annotation reference"/>
    <w:basedOn w:val="Fontepargpadro"/>
    <w:uiPriority w:val="99"/>
    <w:semiHidden/>
    <w:unhideWhenUsed/>
    <w:rsid w:val="007B3D02"/>
    <w:rPr>
      <w:sz w:val="16"/>
      <w:szCs w:val="16"/>
    </w:rPr>
  </w:style>
  <w:style w:type="paragraph" w:styleId="Textodecomentrio">
    <w:name w:val="annotation text"/>
    <w:basedOn w:val="Normal"/>
    <w:link w:val="TextodecomentrioChar"/>
    <w:uiPriority w:val="99"/>
    <w:unhideWhenUsed/>
    <w:rsid w:val="007B3D02"/>
    <w:pPr>
      <w:spacing w:line="240" w:lineRule="auto"/>
    </w:pPr>
    <w:rPr>
      <w:sz w:val="20"/>
      <w:szCs w:val="20"/>
    </w:rPr>
  </w:style>
  <w:style w:type="character" w:customStyle="1" w:styleId="TextodecomentrioChar">
    <w:name w:val="Texto de comentário Char"/>
    <w:basedOn w:val="Fontepargpadro"/>
    <w:link w:val="Textodecomentrio"/>
    <w:uiPriority w:val="99"/>
    <w:rsid w:val="007B3D02"/>
    <w:rPr>
      <w:sz w:val="20"/>
      <w:szCs w:val="20"/>
    </w:rPr>
  </w:style>
  <w:style w:type="paragraph" w:styleId="Assuntodocomentrio">
    <w:name w:val="annotation subject"/>
    <w:basedOn w:val="Textodecomentrio"/>
    <w:next w:val="Textodecomentrio"/>
    <w:link w:val="AssuntodocomentrioChar"/>
    <w:uiPriority w:val="99"/>
    <w:semiHidden/>
    <w:unhideWhenUsed/>
    <w:rsid w:val="007B3D02"/>
    <w:rPr>
      <w:b/>
      <w:bCs/>
    </w:rPr>
  </w:style>
  <w:style w:type="character" w:customStyle="1" w:styleId="AssuntodocomentrioChar">
    <w:name w:val="Assunto do comentário Char"/>
    <w:basedOn w:val="TextodecomentrioChar"/>
    <w:link w:val="Assuntodocomentrio"/>
    <w:uiPriority w:val="99"/>
    <w:semiHidden/>
    <w:rsid w:val="007B3D02"/>
    <w:rPr>
      <w:b/>
      <w:bCs/>
      <w:sz w:val="20"/>
      <w:szCs w:val="20"/>
    </w:rPr>
  </w:style>
  <w:style w:type="paragraph" w:styleId="Textodebalo">
    <w:name w:val="Balloon Text"/>
    <w:basedOn w:val="Normal"/>
    <w:link w:val="TextodebaloChar"/>
    <w:uiPriority w:val="99"/>
    <w:semiHidden/>
    <w:unhideWhenUsed/>
    <w:rsid w:val="007B3D0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B3D02"/>
    <w:rPr>
      <w:rFonts w:ascii="Segoe UI" w:hAnsi="Segoe UI" w:cs="Segoe UI"/>
      <w:sz w:val="18"/>
      <w:szCs w:val="18"/>
    </w:rPr>
  </w:style>
  <w:style w:type="paragraph" w:styleId="NormalWeb">
    <w:name w:val="Normal (Web)"/>
    <w:basedOn w:val="Normal"/>
    <w:uiPriority w:val="99"/>
    <w:semiHidden/>
    <w:unhideWhenUsed/>
    <w:rsid w:val="007B3D0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EstiloJustificadoDepoisde12ptEspaamentoentrelinhas1">
    <w:name w:val="Estilo Justificado Depois de:  12 pt Espaçamento entre linhas:  1..."/>
    <w:basedOn w:val="Normal"/>
    <w:link w:val="EstiloJustificadoDepoisde12ptEspaamentoentrelinhas1Char"/>
    <w:rsid w:val="007B3D02"/>
    <w:pPr>
      <w:spacing w:after="240" w:line="360" w:lineRule="auto"/>
      <w:jc w:val="both"/>
    </w:pPr>
    <w:rPr>
      <w:rFonts w:ascii="Times New Roman" w:eastAsia="Times New Roman" w:hAnsi="Times New Roman" w:cs="Times New Roman"/>
      <w:sz w:val="24"/>
      <w:szCs w:val="20"/>
      <w:lang w:eastAsia="fr-FR"/>
    </w:rPr>
  </w:style>
  <w:style w:type="character" w:customStyle="1" w:styleId="EstiloJustificadoDepoisde12ptEspaamentoentrelinhas1Char">
    <w:name w:val="Estilo Justificado Depois de:  12 pt Espaçamento entre linhas:  1... Char"/>
    <w:basedOn w:val="Fontepargpadro"/>
    <w:link w:val="EstiloJustificadoDepoisde12ptEspaamentoentrelinhas1"/>
    <w:rsid w:val="007B3D02"/>
    <w:rPr>
      <w:rFonts w:ascii="Times New Roman" w:eastAsia="Times New Roman" w:hAnsi="Times New Roman" w:cs="Times New Roman"/>
      <w:sz w:val="24"/>
      <w:szCs w:val="20"/>
      <w:lang w:eastAsia="fr-FR"/>
    </w:rPr>
  </w:style>
  <w:style w:type="paragraph" w:customStyle="1" w:styleId="EndNoteBibliographyTitle">
    <w:name w:val="EndNote Bibliography Title"/>
    <w:basedOn w:val="Normal"/>
    <w:link w:val="EndNoteBibliographyTitleChar"/>
    <w:rsid w:val="007B3D02"/>
    <w:pPr>
      <w:spacing w:after="0"/>
      <w:jc w:val="center"/>
    </w:pPr>
    <w:rPr>
      <w:rFonts w:ascii="Calibri" w:hAnsi="Calibri"/>
      <w:noProof/>
      <w:lang w:val="en-US"/>
    </w:rPr>
  </w:style>
  <w:style w:type="character" w:customStyle="1" w:styleId="EndNoteBibliographyTitleChar">
    <w:name w:val="EndNote Bibliography Title Char"/>
    <w:basedOn w:val="Fontepargpadro"/>
    <w:link w:val="EndNoteBibliographyTitle"/>
    <w:rsid w:val="007B3D02"/>
    <w:rPr>
      <w:rFonts w:ascii="Calibri" w:hAnsi="Calibri"/>
      <w:noProof/>
      <w:lang w:val="en-US"/>
    </w:rPr>
  </w:style>
  <w:style w:type="paragraph" w:customStyle="1" w:styleId="EndNoteBibliography">
    <w:name w:val="EndNote Bibliography"/>
    <w:basedOn w:val="Normal"/>
    <w:link w:val="EndNoteBibliographyChar"/>
    <w:rsid w:val="007B3D02"/>
    <w:pPr>
      <w:spacing w:line="240" w:lineRule="auto"/>
      <w:jc w:val="both"/>
    </w:pPr>
    <w:rPr>
      <w:rFonts w:ascii="Calibri" w:hAnsi="Calibri"/>
      <w:noProof/>
      <w:lang w:val="en-US"/>
    </w:rPr>
  </w:style>
  <w:style w:type="character" w:customStyle="1" w:styleId="EndNoteBibliographyChar">
    <w:name w:val="EndNote Bibliography Char"/>
    <w:basedOn w:val="Fontepargpadro"/>
    <w:link w:val="EndNoteBibliography"/>
    <w:rsid w:val="007B3D02"/>
    <w:rPr>
      <w:rFonts w:ascii="Calibri" w:hAnsi="Calibri"/>
      <w:noProof/>
      <w:lang w:val="en-US"/>
    </w:rPr>
  </w:style>
  <w:style w:type="character" w:styleId="Hyperlink">
    <w:name w:val="Hyperlink"/>
    <w:basedOn w:val="Fontepargpadro"/>
    <w:uiPriority w:val="99"/>
    <w:unhideWhenUsed/>
    <w:rsid w:val="007B3D02"/>
    <w:rPr>
      <w:color w:val="0563C1" w:themeColor="hyperlink"/>
      <w:u w:val="single"/>
    </w:rPr>
  </w:style>
  <w:style w:type="paragraph" w:styleId="SemEspaamento">
    <w:name w:val="No Spacing"/>
    <w:aliases w:val="Citação direta"/>
    <w:basedOn w:val="Normal"/>
    <w:link w:val="SemEspaamentoChar"/>
    <w:uiPriority w:val="99"/>
    <w:qFormat/>
    <w:rsid w:val="007B3D02"/>
    <w:pPr>
      <w:spacing w:after="0" w:line="240" w:lineRule="auto"/>
      <w:ind w:left="2268"/>
      <w:jc w:val="both"/>
    </w:pPr>
    <w:rPr>
      <w:rFonts w:ascii="Times New Roman" w:eastAsia="Times New Roman" w:hAnsi="Times New Roman" w:cs="Times New Roman"/>
      <w:sz w:val="20"/>
      <w:szCs w:val="20"/>
      <w:lang w:eastAsia="pt-BR"/>
    </w:rPr>
  </w:style>
  <w:style w:type="character" w:customStyle="1" w:styleId="SemEspaamentoChar">
    <w:name w:val="Sem Espaçamento Char"/>
    <w:aliases w:val="Citação direta Char"/>
    <w:basedOn w:val="Fontepargpadro"/>
    <w:link w:val="SemEspaamento"/>
    <w:uiPriority w:val="99"/>
    <w:rsid w:val="007B3D02"/>
    <w:rPr>
      <w:rFonts w:ascii="Times New Roman" w:eastAsia="Times New Roman" w:hAnsi="Times New Roman" w:cs="Times New Roman"/>
      <w:sz w:val="20"/>
      <w:szCs w:val="20"/>
      <w:lang w:eastAsia="pt-BR"/>
    </w:rPr>
  </w:style>
  <w:style w:type="paragraph" w:styleId="Textodenotaderodap">
    <w:name w:val="footnote text"/>
    <w:basedOn w:val="Normal"/>
    <w:link w:val="TextodenotaderodapChar"/>
    <w:uiPriority w:val="99"/>
    <w:unhideWhenUsed/>
    <w:rsid w:val="007B3D02"/>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B3D02"/>
    <w:rPr>
      <w:sz w:val="20"/>
      <w:szCs w:val="20"/>
    </w:rPr>
  </w:style>
  <w:style w:type="character" w:styleId="Refdenotaderodap">
    <w:name w:val="footnote reference"/>
    <w:basedOn w:val="Fontepargpadro"/>
    <w:uiPriority w:val="99"/>
    <w:semiHidden/>
    <w:unhideWhenUsed/>
    <w:rsid w:val="007B3D02"/>
    <w:rPr>
      <w:vertAlign w:val="superscript"/>
    </w:rPr>
  </w:style>
  <w:style w:type="paragraph" w:customStyle="1" w:styleId="Default">
    <w:name w:val="Default"/>
    <w:rsid w:val="007B3D02"/>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styleId="PargrafodaLista">
    <w:name w:val="List Paragraph"/>
    <w:basedOn w:val="Normal"/>
    <w:uiPriority w:val="34"/>
    <w:qFormat/>
    <w:rsid w:val="007B3D02"/>
    <w:pPr>
      <w:spacing w:after="200" w:line="276" w:lineRule="auto"/>
      <w:ind w:left="720"/>
      <w:contextualSpacing/>
    </w:pPr>
  </w:style>
  <w:style w:type="paragraph" w:customStyle="1" w:styleId="ListasFigurasTese">
    <w:name w:val="Listas Figuras Tese"/>
    <w:basedOn w:val="Ttulo3"/>
    <w:rsid w:val="007B3D02"/>
    <w:pPr>
      <w:keepLines w:val="0"/>
      <w:spacing w:before="240" w:line="240" w:lineRule="auto"/>
    </w:pPr>
    <w:rPr>
      <w:rFonts w:ascii="Times New Roman" w:eastAsia="Times New Roman" w:hAnsi="Times New Roman" w:cs="Arial"/>
      <w:b/>
      <w:bCs/>
      <w:color w:val="auto"/>
      <w:sz w:val="20"/>
      <w:szCs w:val="26"/>
      <w:lang w:eastAsia="fr-FR"/>
    </w:rPr>
  </w:style>
  <w:style w:type="table" w:customStyle="1" w:styleId="TabelaSimples21">
    <w:name w:val="Tabela Simples 21"/>
    <w:basedOn w:val="Tabelanormal"/>
    <w:uiPriority w:val="42"/>
    <w:rsid w:val="007B3D0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o">
    <w:name w:val="Revision"/>
    <w:hidden/>
    <w:uiPriority w:val="99"/>
    <w:semiHidden/>
    <w:rsid w:val="007B3D02"/>
    <w:pPr>
      <w:spacing w:after="0" w:line="240" w:lineRule="auto"/>
    </w:pPr>
  </w:style>
  <w:style w:type="paragraph" w:styleId="Cabealho">
    <w:name w:val="header"/>
    <w:basedOn w:val="Normal"/>
    <w:link w:val="CabealhoChar"/>
    <w:uiPriority w:val="99"/>
    <w:unhideWhenUsed/>
    <w:rsid w:val="00ED36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36F3"/>
  </w:style>
  <w:style w:type="paragraph" w:styleId="Rodap">
    <w:name w:val="footer"/>
    <w:basedOn w:val="Normal"/>
    <w:link w:val="RodapChar"/>
    <w:uiPriority w:val="99"/>
    <w:unhideWhenUsed/>
    <w:rsid w:val="00ED36F3"/>
    <w:pPr>
      <w:tabs>
        <w:tab w:val="center" w:pos="4252"/>
        <w:tab w:val="right" w:pos="8504"/>
      </w:tabs>
      <w:spacing w:after="0" w:line="240" w:lineRule="auto"/>
    </w:pPr>
  </w:style>
  <w:style w:type="character" w:customStyle="1" w:styleId="RodapChar">
    <w:name w:val="Rodapé Char"/>
    <w:basedOn w:val="Fontepargpadro"/>
    <w:link w:val="Rodap"/>
    <w:uiPriority w:val="99"/>
    <w:rsid w:val="00ED36F3"/>
  </w:style>
  <w:style w:type="paragraph" w:styleId="Textodenotadefim">
    <w:name w:val="endnote text"/>
    <w:basedOn w:val="Normal"/>
    <w:link w:val="TextodenotadefimChar"/>
    <w:uiPriority w:val="99"/>
    <w:semiHidden/>
    <w:unhideWhenUsed/>
    <w:rsid w:val="00ED36F3"/>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ED36F3"/>
    <w:rPr>
      <w:sz w:val="20"/>
      <w:szCs w:val="20"/>
    </w:rPr>
  </w:style>
  <w:style w:type="character" w:styleId="Refdenotadefim">
    <w:name w:val="endnote reference"/>
    <w:basedOn w:val="Fontepargpadro"/>
    <w:uiPriority w:val="99"/>
    <w:semiHidden/>
    <w:unhideWhenUsed/>
    <w:rsid w:val="00ED36F3"/>
    <w:rPr>
      <w:vertAlign w:val="superscript"/>
    </w:rPr>
  </w:style>
  <w:style w:type="character" w:customStyle="1" w:styleId="apple-converted-space">
    <w:name w:val="apple-converted-space"/>
    <w:basedOn w:val="Fontepargpadro"/>
    <w:rsid w:val="002C7643"/>
  </w:style>
  <w:style w:type="paragraph" w:customStyle="1" w:styleId="msonormal0">
    <w:name w:val="msonormal"/>
    <w:basedOn w:val="Normal"/>
    <w:rsid w:val="006D55A6"/>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5">
    <w:name w:val="xl65"/>
    <w:basedOn w:val="Normal"/>
    <w:rsid w:val="006D55A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6">
    <w:name w:val="xl66"/>
    <w:basedOn w:val="Normal"/>
    <w:rsid w:val="006D55A6"/>
    <w:pP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67">
    <w:name w:val="xl67"/>
    <w:basedOn w:val="Normal"/>
    <w:rsid w:val="006D55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68">
    <w:name w:val="xl68"/>
    <w:basedOn w:val="Normal"/>
    <w:rsid w:val="006D55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pt-BR"/>
    </w:rPr>
  </w:style>
  <w:style w:type="paragraph" w:customStyle="1" w:styleId="xl69">
    <w:name w:val="xl69"/>
    <w:basedOn w:val="Normal"/>
    <w:rsid w:val="006D55A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t-BR"/>
    </w:rPr>
  </w:style>
  <w:style w:type="paragraph" w:customStyle="1" w:styleId="xl70">
    <w:name w:val="xl70"/>
    <w:basedOn w:val="Normal"/>
    <w:rsid w:val="006D55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1">
    <w:name w:val="xl71"/>
    <w:basedOn w:val="Normal"/>
    <w:rsid w:val="006D55A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80180">
      <w:bodyDiv w:val="1"/>
      <w:marLeft w:val="0"/>
      <w:marRight w:val="0"/>
      <w:marTop w:val="0"/>
      <w:marBottom w:val="0"/>
      <w:divBdr>
        <w:top w:val="none" w:sz="0" w:space="0" w:color="auto"/>
        <w:left w:val="none" w:sz="0" w:space="0" w:color="auto"/>
        <w:bottom w:val="none" w:sz="0" w:space="0" w:color="auto"/>
        <w:right w:val="none" w:sz="0" w:space="0" w:color="auto"/>
      </w:divBdr>
    </w:div>
    <w:div w:id="756899787">
      <w:bodyDiv w:val="1"/>
      <w:marLeft w:val="0"/>
      <w:marRight w:val="0"/>
      <w:marTop w:val="0"/>
      <w:marBottom w:val="0"/>
      <w:divBdr>
        <w:top w:val="none" w:sz="0" w:space="0" w:color="auto"/>
        <w:left w:val="none" w:sz="0" w:space="0" w:color="auto"/>
        <w:bottom w:val="none" w:sz="0" w:space="0" w:color="auto"/>
        <w:right w:val="none" w:sz="0" w:space="0" w:color="auto"/>
      </w:divBdr>
    </w:div>
    <w:div w:id="1182472463">
      <w:bodyDiv w:val="1"/>
      <w:marLeft w:val="0"/>
      <w:marRight w:val="0"/>
      <w:marTop w:val="0"/>
      <w:marBottom w:val="0"/>
      <w:divBdr>
        <w:top w:val="none" w:sz="0" w:space="0" w:color="auto"/>
        <w:left w:val="none" w:sz="0" w:space="0" w:color="auto"/>
        <w:bottom w:val="none" w:sz="0" w:space="0" w:color="auto"/>
        <w:right w:val="none" w:sz="0" w:space="0" w:color="auto"/>
      </w:divBdr>
    </w:div>
    <w:div w:id="1392344375">
      <w:bodyDiv w:val="1"/>
      <w:marLeft w:val="0"/>
      <w:marRight w:val="0"/>
      <w:marTop w:val="0"/>
      <w:marBottom w:val="0"/>
      <w:divBdr>
        <w:top w:val="none" w:sz="0" w:space="0" w:color="auto"/>
        <w:left w:val="none" w:sz="0" w:space="0" w:color="auto"/>
        <w:bottom w:val="none" w:sz="0" w:space="0" w:color="auto"/>
        <w:right w:val="none" w:sz="0" w:space="0" w:color="auto"/>
      </w:divBdr>
    </w:div>
    <w:div w:id="1589998617">
      <w:bodyDiv w:val="1"/>
      <w:marLeft w:val="0"/>
      <w:marRight w:val="0"/>
      <w:marTop w:val="0"/>
      <w:marBottom w:val="0"/>
      <w:divBdr>
        <w:top w:val="none" w:sz="0" w:space="0" w:color="auto"/>
        <w:left w:val="none" w:sz="0" w:space="0" w:color="auto"/>
        <w:bottom w:val="none" w:sz="0" w:space="0" w:color="auto"/>
        <w:right w:val="none" w:sz="0" w:space="0" w:color="auto"/>
      </w:divBdr>
    </w:div>
    <w:div w:id="1887449875">
      <w:bodyDiv w:val="1"/>
      <w:marLeft w:val="0"/>
      <w:marRight w:val="0"/>
      <w:marTop w:val="0"/>
      <w:marBottom w:val="0"/>
      <w:divBdr>
        <w:top w:val="none" w:sz="0" w:space="0" w:color="auto"/>
        <w:left w:val="none" w:sz="0" w:space="0" w:color="auto"/>
        <w:bottom w:val="none" w:sz="0" w:space="0" w:color="auto"/>
        <w:right w:val="none" w:sz="0" w:space="0" w:color="auto"/>
      </w:divBdr>
      <w:divsChild>
        <w:div w:id="1904489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danie\Dropbox\3-Doutorado\Projeto%20Inova&#231;&#227;o%20Allan\Compila&#231;&#227;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anie\Dropbox\3-Doutorado\Projeto%20Inova&#231;&#227;o%20Allan\Compila&#231;&#227;o%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danie\Dropbox\3-Doutorado\Projeto%20Inova&#231;&#227;o%20Allan\Compila&#231;&#227;o%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danie\Dropbox\3-Doutorado\Projeto%20Inova&#231;&#227;o%20Allan\Compila&#231;&#227;o%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danie\Dropbox\3-Doutorado\Projeto%20Inova&#231;&#227;o%20Allan\Compila&#231;&#227;o%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danie\Dropbox\3-Doutorado\Projeto%20Inova&#231;&#227;o%20Allan\Compila&#231;&#227;o%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pivotSource>
    <c:name>[Compilação final.xlsx]Result_Inovação!Tabela dinâmica28</c:name>
    <c:fmtId val="-1"/>
  </c:pivotSource>
  <c:chart>
    <c:autoTitleDeleted val="1"/>
    <c:pivotFmts>
      <c:pivotFmt>
        <c:idx val="0"/>
        <c:spPr>
          <a:solidFill>
            <a:schemeClr val="accent3"/>
          </a:solidFill>
          <a:ln w="19050">
            <a:solidFill>
              <a:schemeClr val="lt1"/>
            </a:solidFill>
          </a:ln>
          <a:effectLst/>
        </c:spPr>
        <c:marker>
          <c:symbol val="none"/>
        </c:marker>
        <c:dLbl>
          <c:idx val="0"/>
          <c:spPr>
            <a:noFill/>
            <a:ln>
              <a:noFill/>
            </a:ln>
            <a:effectLst/>
          </c:spPr>
          <c:txPr>
            <a:bodyPr rot="0" spcFirstLastPara="1" vertOverflow="ellipsis" vert="horz" wrap="square" anchor="ctr" anchorCtr="1"/>
            <a:lstStyle/>
            <a:p>
              <a:pPr>
                <a:defRPr sz="800" b="0" i="0" u="none" strike="noStrike" kern="1200" baseline="0">
                  <a:solidFill>
                    <a:schemeClr val="tx1">
                      <a:lumMod val="75000"/>
                      <a:lumOff val="25000"/>
                    </a:schemeClr>
                  </a:solidFill>
                  <a:latin typeface="+mn-lt"/>
                  <a:ea typeface="+mn-ea"/>
                  <a:cs typeface="+mn-cs"/>
                </a:defRPr>
              </a:pPr>
              <a:endParaRPr lang="pt-BR"/>
            </a:p>
          </c:txPr>
          <c:showLegendKey val="0"/>
          <c:showVal val="1"/>
          <c:showCatName val="1"/>
          <c:showSerName val="0"/>
          <c:showPercent val="1"/>
          <c:showBubbleSize val="0"/>
          <c:separator>
</c:separator>
          <c:extLst>
            <c:ext xmlns:c15="http://schemas.microsoft.com/office/drawing/2012/chart" uri="{CE6537A1-D6FC-4f65-9D91-7224C49458BB}"/>
          </c:extLst>
        </c:dLbl>
      </c:pivotFmt>
      <c:pivotFmt>
        <c:idx val="1"/>
        <c:spPr>
          <a:solidFill>
            <a:schemeClr val="accent3"/>
          </a:solidFill>
          <a:ln w="19050">
            <a:solidFill>
              <a:schemeClr val="lt1"/>
            </a:solidFill>
          </a:ln>
          <a:effectLst/>
        </c:spPr>
        <c:marker>
          <c:symbol val="none"/>
        </c:marker>
      </c:pivotFmt>
      <c:pivotFmt>
        <c:idx val="2"/>
        <c:spPr>
          <a:solidFill>
            <a:schemeClr val="accent3"/>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t-BR"/>
            </a:p>
          </c:txPr>
          <c:dLblPos val="bestFit"/>
          <c:showLegendKey val="0"/>
          <c:showVal val="1"/>
          <c:showCatName val="1"/>
          <c:showSerName val="0"/>
          <c:showPercent val="1"/>
          <c:showBubbleSize val="0"/>
          <c:separator>
</c:separator>
          <c:extLst>
            <c:ext xmlns:c15="http://schemas.microsoft.com/office/drawing/2012/chart" uri="{CE6537A1-D6FC-4f65-9D91-7224C49458BB}"/>
          </c:extLst>
        </c:dLbl>
      </c:pivotFmt>
      <c:pivotFmt>
        <c:idx val="3"/>
        <c:spPr>
          <a:solidFill>
            <a:schemeClr val="accent3"/>
          </a:solidFill>
          <a:ln w="19050">
            <a:solidFill>
              <a:schemeClr val="lt1"/>
            </a:solidFill>
          </a:ln>
          <a:effectLst/>
        </c:spPr>
        <c:marker>
          <c:symbol val="none"/>
        </c:marker>
      </c:pivotFmt>
      <c:pivotFmt>
        <c:idx val="4"/>
        <c:spPr>
          <a:solidFill>
            <a:schemeClr val="accent3"/>
          </a:solidFill>
          <a:ln w="19050">
            <a:solidFill>
              <a:schemeClr val="lt1"/>
            </a:solidFill>
          </a:ln>
          <a:effectLst/>
        </c:spPr>
      </c:pivotFmt>
      <c:pivotFmt>
        <c:idx val="5"/>
        <c:spPr>
          <a:solidFill>
            <a:schemeClr val="accent3"/>
          </a:solidFill>
          <a:ln w="19050">
            <a:solidFill>
              <a:schemeClr val="lt1"/>
            </a:solidFill>
          </a:ln>
          <a:effectLst/>
        </c:spPr>
      </c:pivotFmt>
      <c:pivotFmt>
        <c:idx val="6"/>
        <c:spPr>
          <a:solidFill>
            <a:schemeClr val="accent3"/>
          </a:solidFill>
          <a:ln w="19050">
            <a:solidFill>
              <a:schemeClr val="lt1"/>
            </a:solidFill>
          </a:ln>
          <a:effectLst/>
        </c:spPr>
      </c:pivotFmt>
      <c:pivotFmt>
        <c:idx val="7"/>
        <c:spPr>
          <a:solidFill>
            <a:schemeClr val="accent3"/>
          </a:solidFill>
          <a:ln w="19050">
            <a:solidFill>
              <a:schemeClr val="lt1"/>
            </a:solidFill>
          </a:ln>
          <a:effectLst/>
        </c:spPr>
      </c:pivotFmt>
      <c:pivotFmt>
        <c:idx val="8"/>
        <c:spPr>
          <a:solidFill>
            <a:schemeClr val="accent3"/>
          </a:solidFill>
          <a:ln w="19050">
            <a:solidFill>
              <a:schemeClr val="lt1"/>
            </a:solidFill>
          </a:ln>
          <a:effectLst/>
        </c:spPr>
      </c:pivotFmt>
      <c:pivotFmt>
        <c:idx val="9"/>
        <c:spPr>
          <a:solidFill>
            <a:schemeClr val="accent3"/>
          </a:solidFill>
          <a:ln w="19050">
            <a:solidFill>
              <a:schemeClr val="lt1"/>
            </a:solidFill>
          </a:ln>
          <a:effectLst/>
        </c:spPr>
      </c:pivotFmt>
      <c:pivotFmt>
        <c:idx val="10"/>
        <c:spPr>
          <a:solidFill>
            <a:schemeClr val="accent3"/>
          </a:solidFill>
          <a:ln w="19050">
            <a:solidFill>
              <a:schemeClr val="lt1"/>
            </a:solidFill>
          </a:ln>
          <a:effectLst/>
        </c:spPr>
      </c:pivotFmt>
      <c:pivotFmt>
        <c:idx val="11"/>
        <c:spPr>
          <a:solidFill>
            <a:schemeClr val="accent3"/>
          </a:solidFill>
          <a:ln w="19050">
            <a:solidFill>
              <a:schemeClr val="lt1"/>
            </a:solidFill>
          </a:ln>
          <a:effectLst/>
        </c:spPr>
      </c:pivotFmt>
      <c:pivotFmt>
        <c:idx val="12"/>
        <c:spPr>
          <a:solidFill>
            <a:schemeClr val="accent3"/>
          </a:solidFill>
          <a:ln w="19050">
            <a:solidFill>
              <a:schemeClr val="lt1"/>
            </a:solidFill>
          </a:ln>
          <a:effectLst/>
        </c:spPr>
      </c:pivotFmt>
      <c:pivotFmt>
        <c:idx val="13"/>
        <c:spPr>
          <a:solidFill>
            <a:schemeClr val="accent3"/>
          </a:solidFill>
          <a:ln w="19050">
            <a:solidFill>
              <a:schemeClr val="lt1"/>
            </a:solidFill>
          </a:ln>
          <a:effectLst/>
        </c:spPr>
      </c:pivotFmt>
      <c:pivotFmt>
        <c:idx val="14"/>
        <c:spPr>
          <a:solidFill>
            <a:schemeClr val="accent3"/>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1"/>
          <c:showSerName val="0"/>
          <c:showPercent val="1"/>
          <c:showBubbleSize val="0"/>
          <c:separator>
</c:separator>
          <c:extLst>
            <c:ext xmlns:c15="http://schemas.microsoft.com/office/drawing/2012/chart" uri="{CE6537A1-D6FC-4f65-9D91-7224C49458BB}"/>
          </c:extLst>
        </c:dLbl>
      </c:pivotFmt>
      <c:pivotFmt>
        <c:idx val="15"/>
        <c:spPr>
          <a:solidFill>
            <a:schemeClr val="accent3"/>
          </a:solidFill>
          <a:ln w="19050">
            <a:solidFill>
              <a:schemeClr val="lt1"/>
            </a:solidFill>
          </a:ln>
          <a:effectLst/>
        </c:spPr>
        <c:marker>
          <c:symbol val="none"/>
        </c:marker>
      </c:pivotFmt>
      <c:pivotFmt>
        <c:idx val="16"/>
        <c:spPr>
          <a:solidFill>
            <a:schemeClr val="accent3"/>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1"/>
          <c:showSerName val="0"/>
          <c:showPercent val="1"/>
          <c:showBubbleSize val="0"/>
          <c:separator>
</c:separator>
          <c:extLst>
            <c:ext xmlns:c15="http://schemas.microsoft.com/office/drawing/2012/chart" uri="{CE6537A1-D6FC-4f65-9D91-7224C49458BB}"/>
          </c:extLst>
        </c:dLbl>
      </c:pivotFmt>
      <c:pivotFmt>
        <c:idx val="17"/>
        <c:spPr>
          <a:solidFill>
            <a:schemeClr val="accent3">
              <a:shade val="53000"/>
            </a:schemeClr>
          </a:solidFill>
          <a:ln w="19050">
            <a:solidFill>
              <a:schemeClr val="lt1"/>
            </a:solidFill>
          </a:ln>
          <a:effectLst/>
        </c:spPr>
      </c:pivotFmt>
      <c:pivotFmt>
        <c:idx val="18"/>
        <c:spPr>
          <a:solidFill>
            <a:schemeClr val="accent3">
              <a:shade val="76000"/>
            </a:schemeClr>
          </a:solidFill>
          <a:ln w="19050">
            <a:solidFill>
              <a:schemeClr val="lt1"/>
            </a:solidFill>
          </a:ln>
          <a:effectLst/>
        </c:spPr>
      </c:pivotFmt>
      <c:pivotFmt>
        <c:idx val="19"/>
        <c:spPr>
          <a:solidFill>
            <a:schemeClr val="accent3"/>
          </a:solidFill>
          <a:ln w="19050">
            <a:solidFill>
              <a:schemeClr val="lt1"/>
            </a:solidFill>
          </a:ln>
          <a:effectLst/>
        </c:spPr>
      </c:pivotFmt>
      <c:pivotFmt>
        <c:idx val="20"/>
        <c:spPr>
          <a:solidFill>
            <a:schemeClr val="accent3">
              <a:tint val="77000"/>
            </a:schemeClr>
          </a:solidFill>
          <a:ln w="19050">
            <a:solidFill>
              <a:schemeClr val="lt1"/>
            </a:solidFill>
          </a:ln>
          <a:effectLst/>
        </c:spPr>
      </c:pivotFmt>
      <c:pivotFmt>
        <c:idx val="21"/>
        <c:spPr>
          <a:solidFill>
            <a:schemeClr val="accent3">
              <a:tint val="54000"/>
            </a:schemeClr>
          </a:solidFill>
          <a:ln w="19050">
            <a:solidFill>
              <a:schemeClr val="lt1"/>
            </a:solidFill>
          </a:ln>
          <a:effectLst/>
        </c:spPr>
      </c:pivotFmt>
      <c:pivotFmt>
        <c:idx val="22"/>
        <c:spPr>
          <a:solidFill>
            <a:schemeClr val="accent3"/>
          </a:solidFill>
          <a:ln w="19050">
            <a:solidFill>
              <a:schemeClr val="lt1"/>
            </a:solidFill>
          </a:ln>
          <a:effectLst/>
        </c:spPr>
        <c:marker>
          <c:symbol val="none"/>
        </c:marker>
      </c:pivotFmt>
      <c:pivotFmt>
        <c:idx val="23"/>
        <c:spPr>
          <a:solidFill>
            <a:schemeClr val="accent3">
              <a:shade val="53000"/>
            </a:schemeClr>
          </a:solidFill>
          <a:ln w="19050">
            <a:solidFill>
              <a:schemeClr val="lt1"/>
            </a:solidFill>
          </a:ln>
          <a:effectLst/>
        </c:spPr>
      </c:pivotFmt>
      <c:pivotFmt>
        <c:idx val="24"/>
        <c:spPr>
          <a:solidFill>
            <a:schemeClr val="accent3">
              <a:shade val="76000"/>
            </a:schemeClr>
          </a:solidFill>
          <a:ln w="19050">
            <a:solidFill>
              <a:schemeClr val="lt1"/>
            </a:solidFill>
          </a:ln>
          <a:effectLst/>
        </c:spPr>
      </c:pivotFmt>
      <c:pivotFmt>
        <c:idx val="25"/>
        <c:spPr>
          <a:solidFill>
            <a:schemeClr val="accent3"/>
          </a:solidFill>
          <a:ln w="19050">
            <a:solidFill>
              <a:schemeClr val="lt1"/>
            </a:solidFill>
          </a:ln>
          <a:effectLst/>
        </c:spPr>
      </c:pivotFmt>
      <c:pivotFmt>
        <c:idx val="26"/>
        <c:spPr>
          <a:solidFill>
            <a:schemeClr val="accent3">
              <a:tint val="77000"/>
            </a:schemeClr>
          </a:solidFill>
          <a:ln w="19050">
            <a:solidFill>
              <a:schemeClr val="lt1"/>
            </a:solidFill>
          </a:ln>
          <a:effectLst/>
        </c:spPr>
      </c:pivotFmt>
      <c:pivotFmt>
        <c:idx val="27"/>
        <c:spPr>
          <a:solidFill>
            <a:schemeClr val="accent3">
              <a:tint val="54000"/>
            </a:schemeClr>
          </a:solidFill>
          <a:ln w="19050">
            <a:solidFill>
              <a:schemeClr val="lt1"/>
            </a:solidFill>
          </a:ln>
          <a:effectLst/>
        </c:spPr>
      </c:pivotFmt>
      <c:pivotFmt>
        <c:idx val="28"/>
        <c:spPr>
          <a:solidFill>
            <a:schemeClr val="accent3"/>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chemeClr val="tx1">
                      <a:lumMod val="75000"/>
                      <a:lumOff val="25000"/>
                    </a:schemeClr>
                  </a:solidFill>
                  <a:latin typeface="+mn-lt"/>
                  <a:ea typeface="+mn-ea"/>
                  <a:cs typeface="+mn-cs"/>
                </a:defRPr>
              </a:pPr>
              <a:endParaRPr lang="pt-BR"/>
            </a:p>
          </c:txPr>
          <c:dLblPos val="outEnd"/>
          <c:showLegendKey val="0"/>
          <c:showVal val="1"/>
          <c:showCatName val="1"/>
          <c:showSerName val="0"/>
          <c:showPercent val="1"/>
          <c:showBubbleSize val="0"/>
          <c:separator>
</c:separator>
          <c:extLst>
            <c:ext xmlns:c15="http://schemas.microsoft.com/office/drawing/2012/chart" uri="{CE6537A1-D6FC-4f65-9D91-7224C49458BB}"/>
          </c:extLst>
        </c:dLbl>
      </c:pivotFmt>
      <c:pivotFmt>
        <c:idx val="29"/>
        <c:spPr>
          <a:solidFill>
            <a:schemeClr val="accent3">
              <a:shade val="53000"/>
            </a:schemeClr>
          </a:solidFill>
          <a:ln w="19050">
            <a:solidFill>
              <a:schemeClr val="lt1"/>
            </a:solidFill>
          </a:ln>
          <a:effectLst/>
        </c:spPr>
      </c:pivotFmt>
      <c:pivotFmt>
        <c:idx val="30"/>
        <c:spPr>
          <a:solidFill>
            <a:schemeClr val="accent3">
              <a:shade val="76000"/>
            </a:schemeClr>
          </a:solidFill>
          <a:ln w="19050">
            <a:solidFill>
              <a:schemeClr val="lt1"/>
            </a:solidFill>
          </a:ln>
          <a:effectLst/>
        </c:spPr>
      </c:pivotFmt>
      <c:pivotFmt>
        <c:idx val="31"/>
        <c:spPr>
          <a:solidFill>
            <a:schemeClr val="accent3"/>
          </a:solidFill>
          <a:ln w="19050">
            <a:solidFill>
              <a:schemeClr val="lt1"/>
            </a:solidFill>
          </a:ln>
          <a:effectLst/>
        </c:spPr>
      </c:pivotFmt>
      <c:pivotFmt>
        <c:idx val="32"/>
        <c:spPr>
          <a:solidFill>
            <a:schemeClr val="accent3">
              <a:tint val="77000"/>
            </a:schemeClr>
          </a:solidFill>
          <a:ln w="19050">
            <a:solidFill>
              <a:schemeClr val="lt1"/>
            </a:solidFill>
          </a:ln>
          <a:effectLst/>
        </c:spPr>
      </c:pivotFmt>
      <c:pivotFmt>
        <c:idx val="33"/>
        <c:spPr>
          <a:solidFill>
            <a:schemeClr val="accent3">
              <a:tint val="54000"/>
            </a:schemeClr>
          </a:solidFill>
          <a:ln w="19050">
            <a:solidFill>
              <a:schemeClr val="lt1"/>
            </a:solidFill>
          </a:ln>
          <a:effectLst/>
        </c:spPr>
      </c:pivotFmt>
      <c:pivotFmt>
        <c:idx val="34"/>
        <c:spPr>
          <a:solidFill>
            <a:schemeClr val="accent3"/>
          </a:solidFill>
          <a:ln w="19050">
            <a:solidFill>
              <a:schemeClr val="lt1"/>
            </a:solidFill>
          </a:ln>
          <a:effectLst/>
        </c:spPr>
        <c:marker>
          <c:symbol val="none"/>
        </c:marker>
      </c:pivotFmt>
      <c:pivotFmt>
        <c:idx val="35"/>
        <c:spPr>
          <a:solidFill>
            <a:schemeClr val="accent3">
              <a:shade val="53000"/>
            </a:schemeClr>
          </a:solidFill>
          <a:ln w="19050">
            <a:solidFill>
              <a:schemeClr val="lt1"/>
            </a:solidFill>
          </a:ln>
          <a:effectLst/>
        </c:spPr>
      </c:pivotFmt>
      <c:pivotFmt>
        <c:idx val="36"/>
        <c:spPr>
          <a:solidFill>
            <a:schemeClr val="accent3">
              <a:shade val="76000"/>
            </a:schemeClr>
          </a:solidFill>
          <a:ln w="19050">
            <a:solidFill>
              <a:schemeClr val="lt1"/>
            </a:solidFill>
          </a:ln>
          <a:effectLst/>
        </c:spPr>
      </c:pivotFmt>
      <c:pivotFmt>
        <c:idx val="37"/>
        <c:spPr>
          <a:solidFill>
            <a:schemeClr val="accent3"/>
          </a:solidFill>
          <a:ln w="19050">
            <a:solidFill>
              <a:schemeClr val="lt1"/>
            </a:solidFill>
          </a:ln>
          <a:effectLst/>
        </c:spPr>
      </c:pivotFmt>
      <c:pivotFmt>
        <c:idx val="38"/>
        <c:spPr>
          <a:solidFill>
            <a:schemeClr val="accent3">
              <a:tint val="77000"/>
            </a:schemeClr>
          </a:solidFill>
          <a:ln w="19050">
            <a:solidFill>
              <a:schemeClr val="lt1"/>
            </a:solidFill>
          </a:ln>
          <a:effectLst/>
        </c:spPr>
      </c:pivotFmt>
      <c:pivotFmt>
        <c:idx val="39"/>
        <c:spPr>
          <a:solidFill>
            <a:schemeClr val="accent3">
              <a:tint val="54000"/>
            </a:schemeClr>
          </a:solidFill>
          <a:ln w="19050">
            <a:solidFill>
              <a:schemeClr val="lt1"/>
            </a:solidFill>
          </a:ln>
          <a:effectLst/>
        </c:spPr>
      </c:pivotFmt>
    </c:pivotFmts>
    <c:plotArea>
      <c:layout>
        <c:manualLayout>
          <c:layoutTarget val="inner"/>
          <c:xMode val="edge"/>
          <c:yMode val="edge"/>
          <c:x val="0.29279202832939077"/>
          <c:y val="0.25406860101391432"/>
          <c:w val="0.24756474375079995"/>
          <c:h val="0.4449307935188041"/>
        </c:manualLayout>
      </c:layout>
      <c:pieChart>
        <c:varyColors val="1"/>
        <c:ser>
          <c:idx val="0"/>
          <c:order val="0"/>
          <c:tx>
            <c:strRef>
              <c:f>Result_Inovação!$B$5</c:f>
              <c:strCache>
                <c:ptCount val="1"/>
                <c:pt idx="0">
                  <c:v>Empresas</c:v>
                </c:pt>
              </c:strCache>
            </c:strRef>
          </c:tx>
          <c:dPt>
            <c:idx val="0"/>
            <c:bubble3D val="0"/>
            <c:spPr>
              <a:solidFill>
                <a:schemeClr val="accent3">
                  <a:shade val="53000"/>
                </a:schemeClr>
              </a:solidFill>
              <a:ln w="19050">
                <a:solidFill>
                  <a:schemeClr val="lt1"/>
                </a:solidFill>
              </a:ln>
              <a:effectLst/>
            </c:spPr>
            <c:extLst>
              <c:ext xmlns:c16="http://schemas.microsoft.com/office/drawing/2014/chart" uri="{C3380CC4-5D6E-409C-BE32-E72D297353CC}">
                <c16:uniqueId val="{00000001-01CC-454D-A5D0-D39BAC61874C}"/>
              </c:ext>
            </c:extLst>
          </c:dPt>
          <c:dPt>
            <c:idx val="1"/>
            <c:bubble3D val="0"/>
            <c:spPr>
              <a:solidFill>
                <a:schemeClr val="accent3">
                  <a:shade val="76000"/>
                </a:schemeClr>
              </a:solidFill>
              <a:ln w="19050">
                <a:solidFill>
                  <a:schemeClr val="lt1"/>
                </a:solidFill>
              </a:ln>
              <a:effectLst/>
            </c:spPr>
            <c:extLst>
              <c:ext xmlns:c16="http://schemas.microsoft.com/office/drawing/2014/chart" uri="{C3380CC4-5D6E-409C-BE32-E72D297353CC}">
                <c16:uniqueId val="{00000003-01CC-454D-A5D0-D39BAC61874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01CC-454D-A5D0-D39BAC61874C}"/>
              </c:ext>
            </c:extLst>
          </c:dPt>
          <c:dPt>
            <c:idx val="3"/>
            <c:bubble3D val="0"/>
            <c:spPr>
              <a:solidFill>
                <a:schemeClr val="accent3">
                  <a:tint val="77000"/>
                </a:schemeClr>
              </a:solidFill>
              <a:ln w="19050">
                <a:solidFill>
                  <a:schemeClr val="lt1"/>
                </a:solidFill>
              </a:ln>
              <a:effectLst/>
            </c:spPr>
            <c:extLst>
              <c:ext xmlns:c16="http://schemas.microsoft.com/office/drawing/2014/chart" uri="{C3380CC4-5D6E-409C-BE32-E72D297353CC}">
                <c16:uniqueId val="{00000007-01CC-454D-A5D0-D39BAC61874C}"/>
              </c:ext>
            </c:extLst>
          </c:dPt>
          <c:dPt>
            <c:idx val="4"/>
            <c:bubble3D val="0"/>
            <c:spPr>
              <a:solidFill>
                <a:schemeClr val="accent3">
                  <a:tint val="54000"/>
                </a:schemeClr>
              </a:solidFill>
              <a:ln w="19050">
                <a:solidFill>
                  <a:schemeClr val="lt1"/>
                </a:solidFill>
              </a:ln>
              <a:effectLst/>
            </c:spPr>
            <c:extLst>
              <c:ext xmlns:c16="http://schemas.microsoft.com/office/drawing/2014/chart" uri="{C3380CC4-5D6E-409C-BE32-E72D297353CC}">
                <c16:uniqueId val="{00000009-01CC-454D-A5D0-D39BAC61874C}"/>
              </c:ext>
            </c:extLst>
          </c:dPt>
          <c:dLbls>
            <c:dLbl>
              <c:idx val="0"/>
              <c:layout>
                <c:manualLayout>
                  <c:x val="7.9182922724665445E-3"/>
                  <c:y val="3.5261822525376276E-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7470046978624957"/>
                      <c:h val="0.3322091960727131"/>
                    </c:manualLayout>
                  </c15:layout>
                </c:ext>
                <c:ext xmlns:c16="http://schemas.microsoft.com/office/drawing/2014/chart" uri="{C3380CC4-5D6E-409C-BE32-E72D297353CC}">
                  <c16:uniqueId val="{00000001-01CC-454D-A5D0-D39BAC61874C}"/>
                </c:ext>
              </c:extLst>
            </c:dLbl>
            <c:dLbl>
              <c:idx val="1"/>
              <c:layout>
                <c:manualLayout>
                  <c:x val="-3.0921459492887968E-2"/>
                  <c:y val="0.15080034516233531"/>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9581042629411602"/>
                      <c:h val="0.361856540084388"/>
                    </c:manualLayout>
                  </c15:layout>
                </c:ext>
                <c:ext xmlns:c16="http://schemas.microsoft.com/office/drawing/2014/chart" uri="{C3380CC4-5D6E-409C-BE32-E72D297353CC}">
                  <c16:uniqueId val="{00000003-01CC-454D-A5D0-D39BAC61874C}"/>
                </c:ext>
              </c:extLst>
            </c:dLbl>
            <c:dLbl>
              <c:idx val="2"/>
              <c:layout>
                <c:manualLayout>
                  <c:x val="-2.4315301947882645E-2"/>
                  <c:y val="2.0237805158579373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7312320156247777"/>
                      <c:h val="0.29586022045880922"/>
                    </c:manualLayout>
                  </c15:layout>
                </c:ext>
                <c:ext xmlns:c16="http://schemas.microsoft.com/office/drawing/2014/chart" uri="{C3380CC4-5D6E-409C-BE32-E72D297353CC}">
                  <c16:uniqueId val="{00000005-01CC-454D-A5D0-D39BAC61874C}"/>
                </c:ext>
              </c:extLst>
            </c:dLbl>
            <c:dLbl>
              <c:idx val="3"/>
              <c:layout>
                <c:manualLayout>
                  <c:x val="5.1535765821480096E-2"/>
                  <c:y val="-1.838061338223133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26998573230294298"/>
                      <c:h val="0.44915611814346001"/>
                    </c:manualLayout>
                  </c15:layout>
                </c:ext>
                <c:ext xmlns:c16="http://schemas.microsoft.com/office/drawing/2014/chart" uri="{C3380CC4-5D6E-409C-BE32-E72D297353CC}">
                  <c16:uniqueId val="{00000007-01CC-454D-A5D0-D39BAC61874C}"/>
                </c:ext>
              </c:extLst>
            </c:dLbl>
            <c:dLbl>
              <c:idx val="4"/>
              <c:layout>
                <c:manualLayout>
                  <c:x val="2.1269608005802406E-2"/>
                  <c:y val="0.10049806855727109"/>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01CC-454D-A5D0-D39BAC61874C}"/>
                </c:ext>
              </c:extLst>
            </c:dLbl>
            <c:spPr>
              <a:noFill/>
              <a:ln>
                <a:noFill/>
              </a:ln>
              <a:effectLst/>
            </c:spPr>
            <c:txPr>
              <a:bodyPr rot="0" vert="horz"/>
              <a:lstStyle/>
              <a:p>
                <a:pPr>
                  <a:defRPr/>
                </a:pPr>
                <a:endParaRPr lang="pt-BR"/>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Result_Inovação!$A$6:$A$11</c:f>
              <c:strCache>
                <c:ptCount val="5"/>
                <c:pt idx="0">
                  <c:v>Não fizemos inovação em produto (bem ou serviço) durante o período</c:v>
                </c:pt>
                <c:pt idx="1">
                  <c:v>Aperfeiçoamento de um produto (bem ou serviço) já existente</c:v>
                </c:pt>
                <c:pt idx="2">
                  <c:v>Produto (bem ou serviço) novo para a empresa, mas não para o mercado</c:v>
                </c:pt>
                <c:pt idx="3">
                  <c:v>Produto (bem ou serviço) novo para o mercado, mas não para o mundo</c:v>
                </c:pt>
                <c:pt idx="4">
                  <c:v>Produto (bem ou serviço) novo para o mundo</c:v>
                </c:pt>
              </c:strCache>
            </c:strRef>
          </c:cat>
          <c:val>
            <c:numRef>
              <c:f>Result_Inovação!$B$6:$B$11</c:f>
              <c:numCache>
                <c:formatCode>General</c:formatCode>
                <c:ptCount val="5"/>
                <c:pt idx="0">
                  <c:v>2</c:v>
                </c:pt>
                <c:pt idx="1">
                  <c:v>16</c:v>
                </c:pt>
                <c:pt idx="2">
                  <c:v>6</c:v>
                </c:pt>
                <c:pt idx="3">
                  <c:v>12</c:v>
                </c:pt>
                <c:pt idx="4">
                  <c:v>8</c:v>
                </c:pt>
              </c:numCache>
            </c:numRef>
          </c:val>
          <c:extLst>
            <c:ext xmlns:c16="http://schemas.microsoft.com/office/drawing/2014/chart" uri="{C3380CC4-5D6E-409C-BE32-E72D297353CC}">
              <c16:uniqueId val="{0000000A-01CC-454D-A5D0-D39BAC61874C}"/>
            </c:ext>
          </c:extLst>
        </c:ser>
        <c:ser>
          <c:idx val="1"/>
          <c:order val="1"/>
          <c:tx>
            <c:strRef>
              <c:f>Result_Inovação!$C$5</c:f>
              <c:strCache>
                <c:ptCount val="1"/>
                <c:pt idx="0">
                  <c:v>%</c:v>
                </c:pt>
              </c:strCache>
            </c:strRef>
          </c:tx>
          <c:dPt>
            <c:idx val="0"/>
            <c:bubble3D val="0"/>
            <c:spPr>
              <a:solidFill>
                <a:schemeClr val="accent3">
                  <a:shade val="53000"/>
                </a:schemeClr>
              </a:solidFill>
              <a:ln w="19050">
                <a:solidFill>
                  <a:schemeClr val="lt1"/>
                </a:solidFill>
              </a:ln>
              <a:effectLst/>
            </c:spPr>
            <c:extLst>
              <c:ext xmlns:c16="http://schemas.microsoft.com/office/drawing/2014/chart" uri="{C3380CC4-5D6E-409C-BE32-E72D297353CC}">
                <c16:uniqueId val="{0000000C-01CC-454D-A5D0-D39BAC61874C}"/>
              </c:ext>
            </c:extLst>
          </c:dPt>
          <c:dPt>
            <c:idx val="1"/>
            <c:bubble3D val="0"/>
            <c:spPr>
              <a:solidFill>
                <a:schemeClr val="accent3">
                  <a:shade val="76000"/>
                </a:schemeClr>
              </a:solidFill>
              <a:ln w="19050">
                <a:solidFill>
                  <a:schemeClr val="lt1"/>
                </a:solidFill>
              </a:ln>
              <a:effectLst/>
            </c:spPr>
            <c:extLst>
              <c:ext xmlns:c16="http://schemas.microsoft.com/office/drawing/2014/chart" uri="{C3380CC4-5D6E-409C-BE32-E72D297353CC}">
                <c16:uniqueId val="{0000000E-01CC-454D-A5D0-D39BAC61874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01CC-454D-A5D0-D39BAC61874C}"/>
              </c:ext>
            </c:extLst>
          </c:dPt>
          <c:dPt>
            <c:idx val="3"/>
            <c:bubble3D val="0"/>
            <c:spPr>
              <a:solidFill>
                <a:schemeClr val="accent3">
                  <a:tint val="77000"/>
                </a:schemeClr>
              </a:solidFill>
              <a:ln w="19050">
                <a:solidFill>
                  <a:schemeClr val="lt1"/>
                </a:solidFill>
              </a:ln>
              <a:effectLst/>
            </c:spPr>
            <c:extLst>
              <c:ext xmlns:c16="http://schemas.microsoft.com/office/drawing/2014/chart" uri="{C3380CC4-5D6E-409C-BE32-E72D297353CC}">
                <c16:uniqueId val="{00000012-01CC-454D-A5D0-D39BAC61874C}"/>
              </c:ext>
            </c:extLst>
          </c:dPt>
          <c:dPt>
            <c:idx val="4"/>
            <c:bubble3D val="0"/>
            <c:spPr>
              <a:solidFill>
                <a:schemeClr val="accent3">
                  <a:tint val="54000"/>
                </a:schemeClr>
              </a:solidFill>
              <a:ln w="19050">
                <a:solidFill>
                  <a:schemeClr val="lt1"/>
                </a:solidFill>
              </a:ln>
              <a:effectLst/>
            </c:spPr>
            <c:extLst>
              <c:ext xmlns:c16="http://schemas.microsoft.com/office/drawing/2014/chart" uri="{C3380CC4-5D6E-409C-BE32-E72D297353CC}">
                <c16:uniqueId val="{00000014-01CC-454D-A5D0-D39BAC61874C}"/>
              </c:ext>
            </c:extLst>
          </c:dPt>
          <c:cat>
            <c:strRef>
              <c:f>Result_Inovação!$A$6:$A$11</c:f>
              <c:strCache>
                <c:ptCount val="5"/>
                <c:pt idx="0">
                  <c:v>Não fizemos inovação em produto (bem ou serviço) durante o período</c:v>
                </c:pt>
                <c:pt idx="1">
                  <c:v>Aperfeiçoamento de um produto (bem ou serviço) já existente</c:v>
                </c:pt>
                <c:pt idx="2">
                  <c:v>Produto (bem ou serviço) novo para a empresa, mas não para o mercado</c:v>
                </c:pt>
                <c:pt idx="3">
                  <c:v>Produto (bem ou serviço) novo para o mercado, mas não para o mundo</c:v>
                </c:pt>
                <c:pt idx="4">
                  <c:v>Produto (bem ou serviço) novo para o mundo</c:v>
                </c:pt>
              </c:strCache>
            </c:strRef>
          </c:cat>
          <c:val>
            <c:numRef>
              <c:f>Result_Inovação!$C$6:$C$11</c:f>
              <c:numCache>
                <c:formatCode>0%</c:formatCode>
                <c:ptCount val="5"/>
                <c:pt idx="0">
                  <c:v>4.5454545454545497E-2</c:v>
                </c:pt>
                <c:pt idx="1">
                  <c:v>0.36363636363636398</c:v>
                </c:pt>
                <c:pt idx="2">
                  <c:v>0.13636363636363588</c:v>
                </c:pt>
                <c:pt idx="3">
                  <c:v>0.27272727272727298</c:v>
                </c:pt>
                <c:pt idx="4">
                  <c:v>0.18181818181818374</c:v>
                </c:pt>
              </c:numCache>
            </c:numRef>
          </c:val>
          <c:extLst>
            <c:ext xmlns:c16="http://schemas.microsoft.com/office/drawing/2014/chart" uri="{C3380CC4-5D6E-409C-BE32-E72D297353CC}">
              <c16:uniqueId val="{00000015-01CC-454D-A5D0-D39BAC61874C}"/>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sz="1000">
          <a:latin typeface="Times New Roman" panose="02020603050405020304" pitchFamily="18" charset="0"/>
          <a:cs typeface="Times New Roman" panose="02020603050405020304" pitchFamily="18" charset="0"/>
        </a:defRPr>
      </a:pPr>
      <a:endParaRPr lang="pt-BR"/>
    </a:p>
  </c:txPr>
  <c:externalData r:id="rId1">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pivotSource>
    <c:name>[Compilação final.xlsx]Result_Inovação!Tabela dinâmica58</c:name>
    <c:fmtId val="-1"/>
  </c:pivotSource>
  <c:chart>
    <c:autoTitleDeleted val="1"/>
    <c:pivotFmts>
      <c:pivotFmt>
        <c:idx val="0"/>
        <c:spPr>
          <a:solidFill>
            <a:schemeClr val="accent3"/>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pt-BR" sz="800" b="0" i="0" u="none" strike="noStrike" kern="1200" baseline="0">
                  <a:solidFill>
                    <a:schemeClr val="tx1"/>
                  </a:solidFill>
                  <a:latin typeface="+mn-lt"/>
                  <a:ea typeface="+mn-ea"/>
                  <a:cs typeface="+mn-cs"/>
                </a:defRPr>
              </a:pPr>
              <a:endParaRPr lang="pt-BR"/>
            </a:p>
          </c:txPr>
          <c:showLegendKey val="0"/>
          <c:showVal val="1"/>
          <c:showCatName val="1"/>
          <c:showSerName val="0"/>
          <c:showPercent val="1"/>
          <c:showBubbleSize val="0"/>
          <c:separator>
</c:separator>
          <c:extLst>
            <c:ext xmlns:c15="http://schemas.microsoft.com/office/drawing/2012/chart" uri="{CE6537A1-D6FC-4f65-9D91-7224C49458BB}"/>
          </c:extLst>
        </c:dLbl>
      </c:pivotFmt>
      <c:pivotFmt>
        <c:idx val="1"/>
        <c:spPr>
          <a:solidFill>
            <a:schemeClr val="accent3"/>
          </a:solidFill>
          <a:ln w="19050">
            <a:solidFill>
              <a:schemeClr val="lt1"/>
            </a:solidFill>
          </a:ln>
          <a:effectLst/>
        </c:spPr>
        <c:marker>
          <c:symbol val="none"/>
        </c:marker>
      </c:pivotFmt>
      <c:pivotFmt>
        <c:idx val="2"/>
        <c:spPr>
          <a:solidFill>
            <a:schemeClr val="accent3"/>
          </a:solidFill>
          <a:ln w="19050">
            <a:solidFill>
              <a:schemeClr val="lt1"/>
            </a:solidFill>
          </a:ln>
          <a:effectLst/>
        </c:spPr>
      </c:pivotFmt>
      <c:pivotFmt>
        <c:idx val="3"/>
        <c:spPr>
          <a:solidFill>
            <a:schemeClr val="accent3"/>
          </a:solidFill>
          <a:ln w="19050">
            <a:solidFill>
              <a:schemeClr val="lt1"/>
            </a:solidFill>
          </a:ln>
          <a:effectLst/>
        </c:spPr>
      </c:pivotFmt>
      <c:pivotFmt>
        <c:idx val="4"/>
        <c:spPr>
          <a:solidFill>
            <a:schemeClr val="accent3"/>
          </a:solidFill>
          <a:ln w="19050">
            <a:solidFill>
              <a:schemeClr val="lt1"/>
            </a:solidFill>
          </a:ln>
          <a:effectLst/>
        </c:spPr>
      </c:pivotFmt>
      <c:pivotFmt>
        <c:idx val="5"/>
        <c:spPr>
          <a:solidFill>
            <a:schemeClr val="accent3"/>
          </a:solidFill>
          <a:ln w="19050">
            <a:solidFill>
              <a:schemeClr val="lt1"/>
            </a:solidFill>
          </a:ln>
          <a:effectLst/>
        </c:spPr>
      </c:pivotFmt>
      <c:pivotFmt>
        <c:idx val="6"/>
        <c:spPr>
          <a:solidFill>
            <a:schemeClr val="accent3"/>
          </a:solidFill>
          <a:ln w="19050">
            <a:solidFill>
              <a:schemeClr val="lt1"/>
            </a:solidFill>
          </a:ln>
          <a:effectLst/>
        </c:spPr>
      </c:pivotFmt>
      <c:pivotFmt>
        <c:idx val="7"/>
        <c:spPr>
          <a:solidFill>
            <a:schemeClr val="accent3"/>
          </a:solidFill>
          <a:ln w="19050">
            <a:solidFill>
              <a:schemeClr val="lt1"/>
            </a:solidFill>
          </a:ln>
          <a:effectLst/>
        </c:spPr>
      </c:pivotFmt>
      <c:pivotFmt>
        <c:idx val="8"/>
        <c:spPr>
          <a:solidFill>
            <a:schemeClr val="accent3"/>
          </a:solidFill>
          <a:ln w="19050">
            <a:solidFill>
              <a:schemeClr val="lt1"/>
            </a:solidFill>
          </a:ln>
          <a:effectLst/>
        </c:spPr>
      </c:pivotFmt>
      <c:pivotFmt>
        <c:idx val="9"/>
        <c:spPr>
          <a:solidFill>
            <a:schemeClr val="accent3"/>
          </a:solidFill>
          <a:ln w="19050">
            <a:solidFill>
              <a:schemeClr val="lt1"/>
            </a:solidFill>
          </a:ln>
          <a:effectLst/>
        </c:spPr>
      </c:pivotFmt>
      <c:pivotFmt>
        <c:idx val="10"/>
        <c:spPr>
          <a:solidFill>
            <a:schemeClr val="accent3"/>
          </a:solidFill>
          <a:ln w="19050">
            <a:solidFill>
              <a:schemeClr val="lt1"/>
            </a:solidFill>
          </a:ln>
          <a:effectLst/>
        </c:spPr>
      </c:pivotFmt>
      <c:pivotFmt>
        <c:idx val="11"/>
        <c:spPr>
          <a:solidFill>
            <a:schemeClr val="accent3"/>
          </a:solidFill>
          <a:ln w="19050">
            <a:solidFill>
              <a:schemeClr val="lt1"/>
            </a:solidFill>
          </a:ln>
          <a:effectLst/>
        </c:spPr>
      </c:pivotFmt>
      <c:pivotFmt>
        <c:idx val="12"/>
        <c:spPr>
          <a:solidFill>
            <a:schemeClr val="accent3"/>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pt-BR" sz="800" b="0" i="0" u="none" strike="noStrike" kern="1200" baseline="0">
                  <a:solidFill>
                    <a:schemeClr val="tx1"/>
                  </a:solidFill>
                  <a:latin typeface="+mn-lt"/>
                  <a:ea typeface="+mn-ea"/>
                  <a:cs typeface="+mn-cs"/>
                </a:defRPr>
              </a:pPr>
              <a:endParaRPr lang="pt-BR"/>
            </a:p>
          </c:txPr>
          <c:showLegendKey val="0"/>
          <c:showVal val="1"/>
          <c:showCatName val="1"/>
          <c:showSerName val="0"/>
          <c:showPercent val="1"/>
          <c:showBubbleSize val="0"/>
          <c:separator>
</c:separator>
          <c:extLst>
            <c:ext xmlns:c15="http://schemas.microsoft.com/office/drawing/2012/chart" uri="{CE6537A1-D6FC-4f65-9D91-7224C49458BB}"/>
          </c:extLst>
        </c:dLbl>
      </c:pivotFmt>
      <c:pivotFmt>
        <c:idx val="13"/>
        <c:spPr>
          <a:solidFill>
            <a:schemeClr val="accent3"/>
          </a:solidFill>
          <a:ln w="19050">
            <a:solidFill>
              <a:schemeClr val="lt1"/>
            </a:solidFill>
          </a:ln>
          <a:effectLst/>
        </c:spPr>
        <c:marker>
          <c:symbol val="none"/>
        </c:marker>
      </c:pivotFmt>
      <c:pivotFmt>
        <c:idx val="14"/>
        <c:spPr>
          <a:solidFill>
            <a:schemeClr val="accent3"/>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pt-BR" sz="800" b="0" i="0" u="none" strike="noStrike" kern="1200" baseline="0">
                  <a:solidFill>
                    <a:schemeClr val="tx1"/>
                  </a:solidFill>
                  <a:latin typeface="+mn-lt"/>
                  <a:ea typeface="+mn-ea"/>
                  <a:cs typeface="+mn-cs"/>
                </a:defRPr>
              </a:pPr>
              <a:endParaRPr lang="pt-BR"/>
            </a:p>
          </c:txPr>
          <c:showLegendKey val="0"/>
          <c:showVal val="1"/>
          <c:showCatName val="1"/>
          <c:showSerName val="0"/>
          <c:showPercent val="1"/>
          <c:showBubbleSize val="0"/>
          <c:separator>
</c:separator>
          <c:extLst>
            <c:ext xmlns:c15="http://schemas.microsoft.com/office/drawing/2012/chart" uri="{CE6537A1-D6FC-4f65-9D91-7224C49458BB}"/>
          </c:extLst>
        </c:dLbl>
      </c:pivotFmt>
      <c:pivotFmt>
        <c:idx val="15"/>
        <c:spPr>
          <a:solidFill>
            <a:schemeClr val="accent3">
              <a:shade val="53000"/>
            </a:schemeClr>
          </a:solidFill>
          <a:ln w="19050">
            <a:solidFill>
              <a:schemeClr val="lt1"/>
            </a:solidFill>
          </a:ln>
          <a:effectLst/>
        </c:spPr>
      </c:pivotFmt>
      <c:pivotFmt>
        <c:idx val="16"/>
        <c:spPr>
          <a:solidFill>
            <a:schemeClr val="accent3">
              <a:shade val="76000"/>
            </a:schemeClr>
          </a:solidFill>
          <a:ln w="19050">
            <a:solidFill>
              <a:schemeClr val="lt1"/>
            </a:solidFill>
          </a:ln>
          <a:effectLst/>
        </c:spPr>
      </c:pivotFmt>
      <c:pivotFmt>
        <c:idx val="17"/>
        <c:spPr>
          <a:solidFill>
            <a:schemeClr val="accent3"/>
          </a:solidFill>
          <a:ln w="19050">
            <a:solidFill>
              <a:schemeClr val="lt1"/>
            </a:solidFill>
          </a:ln>
          <a:effectLst/>
        </c:spPr>
      </c:pivotFmt>
      <c:pivotFmt>
        <c:idx val="18"/>
        <c:spPr>
          <a:solidFill>
            <a:schemeClr val="accent3">
              <a:tint val="77000"/>
            </a:schemeClr>
          </a:solidFill>
          <a:ln w="19050">
            <a:solidFill>
              <a:schemeClr val="lt1"/>
            </a:solidFill>
          </a:ln>
          <a:effectLst/>
        </c:spPr>
      </c:pivotFmt>
      <c:pivotFmt>
        <c:idx val="19"/>
        <c:spPr>
          <a:solidFill>
            <a:schemeClr val="accent3">
              <a:tint val="54000"/>
            </a:schemeClr>
          </a:solidFill>
          <a:ln w="19050">
            <a:solidFill>
              <a:schemeClr val="lt1"/>
            </a:solidFill>
          </a:ln>
          <a:effectLst/>
        </c:spPr>
      </c:pivotFmt>
      <c:pivotFmt>
        <c:idx val="20"/>
        <c:spPr>
          <a:solidFill>
            <a:schemeClr val="accent3"/>
          </a:solidFill>
          <a:ln w="19050">
            <a:solidFill>
              <a:schemeClr val="lt1"/>
            </a:solidFill>
          </a:ln>
          <a:effectLst/>
        </c:spPr>
        <c:marker>
          <c:symbol val="none"/>
        </c:marker>
      </c:pivotFmt>
      <c:pivotFmt>
        <c:idx val="21"/>
        <c:spPr>
          <a:solidFill>
            <a:schemeClr val="accent3">
              <a:shade val="53000"/>
            </a:schemeClr>
          </a:solidFill>
          <a:ln w="19050">
            <a:solidFill>
              <a:schemeClr val="lt1"/>
            </a:solidFill>
          </a:ln>
          <a:effectLst/>
        </c:spPr>
      </c:pivotFmt>
      <c:pivotFmt>
        <c:idx val="22"/>
        <c:spPr>
          <a:solidFill>
            <a:schemeClr val="accent3">
              <a:shade val="76000"/>
            </a:schemeClr>
          </a:solidFill>
          <a:ln w="19050">
            <a:solidFill>
              <a:schemeClr val="lt1"/>
            </a:solidFill>
          </a:ln>
          <a:effectLst/>
        </c:spPr>
      </c:pivotFmt>
      <c:pivotFmt>
        <c:idx val="23"/>
        <c:spPr>
          <a:solidFill>
            <a:schemeClr val="accent3"/>
          </a:solidFill>
          <a:ln w="19050">
            <a:solidFill>
              <a:schemeClr val="lt1"/>
            </a:solidFill>
          </a:ln>
          <a:effectLst/>
        </c:spPr>
      </c:pivotFmt>
      <c:pivotFmt>
        <c:idx val="24"/>
        <c:spPr>
          <a:solidFill>
            <a:schemeClr val="accent3">
              <a:tint val="77000"/>
            </a:schemeClr>
          </a:solidFill>
          <a:ln w="19050">
            <a:solidFill>
              <a:schemeClr val="lt1"/>
            </a:solidFill>
          </a:ln>
          <a:effectLst/>
        </c:spPr>
      </c:pivotFmt>
      <c:pivotFmt>
        <c:idx val="25"/>
        <c:spPr>
          <a:solidFill>
            <a:schemeClr val="accent3">
              <a:tint val="54000"/>
            </a:schemeClr>
          </a:solidFill>
          <a:ln w="19050">
            <a:solidFill>
              <a:schemeClr val="lt1"/>
            </a:solidFill>
          </a:ln>
          <a:effectLst/>
        </c:spPr>
      </c:pivotFmt>
      <c:pivotFmt>
        <c:idx val="26"/>
        <c:spPr>
          <a:solidFill>
            <a:schemeClr val="accent3"/>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lang="pt-BR" sz="800" b="0" i="0" u="none" strike="noStrike" kern="1200" baseline="0">
                  <a:solidFill>
                    <a:schemeClr val="tx1"/>
                  </a:solidFill>
                  <a:latin typeface="+mn-lt"/>
                  <a:ea typeface="+mn-ea"/>
                  <a:cs typeface="+mn-cs"/>
                </a:defRPr>
              </a:pPr>
              <a:endParaRPr lang="pt-BR"/>
            </a:p>
          </c:txPr>
          <c:showLegendKey val="0"/>
          <c:showVal val="1"/>
          <c:showCatName val="1"/>
          <c:showSerName val="0"/>
          <c:showPercent val="1"/>
          <c:showBubbleSize val="0"/>
          <c:separator>
</c:separator>
          <c:extLst>
            <c:ext xmlns:c15="http://schemas.microsoft.com/office/drawing/2012/chart" uri="{CE6537A1-D6FC-4f65-9D91-7224C49458BB}"/>
          </c:extLst>
        </c:dLbl>
      </c:pivotFmt>
      <c:pivotFmt>
        <c:idx val="27"/>
        <c:spPr>
          <a:solidFill>
            <a:schemeClr val="accent3">
              <a:shade val="53000"/>
            </a:schemeClr>
          </a:solidFill>
          <a:ln w="19050">
            <a:solidFill>
              <a:schemeClr val="lt1"/>
            </a:solidFill>
          </a:ln>
          <a:effectLst/>
        </c:spPr>
      </c:pivotFmt>
      <c:pivotFmt>
        <c:idx val="28"/>
        <c:spPr>
          <a:solidFill>
            <a:schemeClr val="accent3">
              <a:shade val="76000"/>
            </a:schemeClr>
          </a:solidFill>
          <a:ln w="19050">
            <a:solidFill>
              <a:schemeClr val="lt1"/>
            </a:solidFill>
          </a:ln>
          <a:effectLst/>
        </c:spPr>
      </c:pivotFmt>
      <c:pivotFmt>
        <c:idx val="29"/>
        <c:spPr>
          <a:solidFill>
            <a:schemeClr val="accent3"/>
          </a:solidFill>
          <a:ln w="19050">
            <a:solidFill>
              <a:schemeClr val="lt1"/>
            </a:solidFill>
          </a:ln>
          <a:effectLst/>
        </c:spPr>
      </c:pivotFmt>
      <c:pivotFmt>
        <c:idx val="30"/>
        <c:spPr>
          <a:solidFill>
            <a:schemeClr val="accent3">
              <a:tint val="77000"/>
            </a:schemeClr>
          </a:solidFill>
          <a:ln w="19050">
            <a:solidFill>
              <a:schemeClr val="lt1"/>
            </a:solidFill>
          </a:ln>
          <a:effectLst/>
        </c:spPr>
      </c:pivotFmt>
      <c:pivotFmt>
        <c:idx val="31"/>
        <c:spPr>
          <a:solidFill>
            <a:schemeClr val="accent3">
              <a:tint val="54000"/>
            </a:schemeClr>
          </a:solidFill>
          <a:ln w="19050">
            <a:solidFill>
              <a:schemeClr val="lt1"/>
            </a:solidFill>
          </a:ln>
          <a:effectLst/>
        </c:spPr>
      </c:pivotFmt>
      <c:pivotFmt>
        <c:idx val="32"/>
        <c:spPr>
          <a:solidFill>
            <a:schemeClr val="accent3"/>
          </a:solidFill>
          <a:ln w="19050">
            <a:solidFill>
              <a:schemeClr val="lt1"/>
            </a:solidFill>
          </a:ln>
          <a:effectLst/>
        </c:spPr>
        <c:marker>
          <c:symbol val="none"/>
        </c:marker>
      </c:pivotFmt>
      <c:pivotFmt>
        <c:idx val="33"/>
        <c:spPr>
          <a:solidFill>
            <a:schemeClr val="accent3">
              <a:shade val="53000"/>
            </a:schemeClr>
          </a:solidFill>
          <a:ln w="19050">
            <a:solidFill>
              <a:schemeClr val="lt1"/>
            </a:solidFill>
          </a:ln>
          <a:effectLst/>
        </c:spPr>
      </c:pivotFmt>
      <c:pivotFmt>
        <c:idx val="34"/>
        <c:spPr>
          <a:solidFill>
            <a:schemeClr val="accent3">
              <a:shade val="76000"/>
            </a:schemeClr>
          </a:solidFill>
          <a:ln w="19050">
            <a:solidFill>
              <a:schemeClr val="lt1"/>
            </a:solidFill>
          </a:ln>
          <a:effectLst/>
        </c:spPr>
      </c:pivotFmt>
      <c:pivotFmt>
        <c:idx val="35"/>
        <c:spPr>
          <a:solidFill>
            <a:schemeClr val="accent3"/>
          </a:solidFill>
          <a:ln w="19050">
            <a:solidFill>
              <a:schemeClr val="lt1"/>
            </a:solidFill>
          </a:ln>
          <a:effectLst/>
        </c:spPr>
      </c:pivotFmt>
      <c:pivotFmt>
        <c:idx val="36"/>
        <c:spPr>
          <a:solidFill>
            <a:schemeClr val="accent3">
              <a:tint val="77000"/>
            </a:schemeClr>
          </a:solidFill>
          <a:ln w="19050">
            <a:solidFill>
              <a:schemeClr val="lt1"/>
            </a:solidFill>
          </a:ln>
          <a:effectLst/>
        </c:spPr>
      </c:pivotFmt>
      <c:pivotFmt>
        <c:idx val="37"/>
        <c:spPr>
          <a:solidFill>
            <a:schemeClr val="accent3">
              <a:tint val="54000"/>
            </a:schemeClr>
          </a:solidFill>
          <a:ln w="19050">
            <a:solidFill>
              <a:schemeClr val="lt1"/>
            </a:solidFill>
          </a:ln>
          <a:effectLst/>
        </c:spPr>
      </c:pivotFmt>
    </c:pivotFmts>
    <c:plotArea>
      <c:layout>
        <c:manualLayout>
          <c:layoutTarget val="inner"/>
          <c:xMode val="edge"/>
          <c:yMode val="edge"/>
          <c:x val="0.29679417556980614"/>
          <c:y val="0.26359526956342"/>
          <c:w val="0.44896064894828108"/>
          <c:h val="0.51633593855422999"/>
        </c:manualLayout>
      </c:layout>
      <c:pieChart>
        <c:varyColors val="1"/>
        <c:ser>
          <c:idx val="0"/>
          <c:order val="0"/>
          <c:tx>
            <c:strRef>
              <c:f>Result_Inovação!$B$14</c:f>
              <c:strCache>
                <c:ptCount val="1"/>
                <c:pt idx="0">
                  <c:v>Empresas</c:v>
                </c:pt>
              </c:strCache>
            </c:strRef>
          </c:tx>
          <c:dPt>
            <c:idx val="0"/>
            <c:bubble3D val="0"/>
            <c:spPr>
              <a:solidFill>
                <a:schemeClr val="accent3">
                  <a:shade val="53000"/>
                </a:schemeClr>
              </a:solidFill>
              <a:ln w="19050">
                <a:solidFill>
                  <a:schemeClr val="lt1"/>
                </a:solidFill>
              </a:ln>
              <a:effectLst/>
            </c:spPr>
            <c:extLst>
              <c:ext xmlns:c16="http://schemas.microsoft.com/office/drawing/2014/chart" uri="{C3380CC4-5D6E-409C-BE32-E72D297353CC}">
                <c16:uniqueId val="{00000001-6DCF-4C4F-B5BF-E272313AD34E}"/>
              </c:ext>
            </c:extLst>
          </c:dPt>
          <c:dPt>
            <c:idx val="1"/>
            <c:bubble3D val="0"/>
            <c:spPr>
              <a:solidFill>
                <a:schemeClr val="accent3">
                  <a:shade val="76000"/>
                </a:schemeClr>
              </a:solidFill>
              <a:ln w="19050">
                <a:solidFill>
                  <a:schemeClr val="lt1"/>
                </a:solidFill>
              </a:ln>
              <a:effectLst/>
            </c:spPr>
            <c:extLst>
              <c:ext xmlns:c16="http://schemas.microsoft.com/office/drawing/2014/chart" uri="{C3380CC4-5D6E-409C-BE32-E72D297353CC}">
                <c16:uniqueId val="{00000003-6DCF-4C4F-B5BF-E272313AD3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DCF-4C4F-B5BF-E272313AD34E}"/>
              </c:ext>
            </c:extLst>
          </c:dPt>
          <c:dPt>
            <c:idx val="3"/>
            <c:bubble3D val="0"/>
            <c:spPr>
              <a:solidFill>
                <a:schemeClr val="accent3">
                  <a:tint val="77000"/>
                </a:schemeClr>
              </a:solidFill>
              <a:ln w="19050">
                <a:solidFill>
                  <a:schemeClr val="lt1"/>
                </a:solidFill>
              </a:ln>
              <a:effectLst/>
            </c:spPr>
            <c:extLst>
              <c:ext xmlns:c16="http://schemas.microsoft.com/office/drawing/2014/chart" uri="{C3380CC4-5D6E-409C-BE32-E72D297353CC}">
                <c16:uniqueId val="{00000007-6DCF-4C4F-B5BF-E272313AD34E}"/>
              </c:ext>
            </c:extLst>
          </c:dPt>
          <c:dPt>
            <c:idx val="4"/>
            <c:bubble3D val="0"/>
            <c:spPr>
              <a:solidFill>
                <a:schemeClr val="accent3">
                  <a:tint val="54000"/>
                </a:schemeClr>
              </a:solidFill>
              <a:ln w="19050">
                <a:solidFill>
                  <a:schemeClr val="lt1"/>
                </a:solidFill>
              </a:ln>
              <a:effectLst/>
            </c:spPr>
            <c:extLst>
              <c:ext xmlns:c16="http://schemas.microsoft.com/office/drawing/2014/chart" uri="{C3380CC4-5D6E-409C-BE32-E72D297353CC}">
                <c16:uniqueId val="{00000009-6DCF-4C4F-B5BF-E272313AD34E}"/>
              </c:ext>
            </c:extLst>
          </c:dPt>
          <c:dLbls>
            <c:dLbl>
              <c:idx val="0"/>
              <c:layout>
                <c:manualLayout>
                  <c:x val="-5.5868890854247573E-2"/>
                  <c:y val="5.9288732065606427E-2"/>
                </c:manualLayout>
              </c:layout>
              <c:showLegendKey val="0"/>
              <c:showVal val="1"/>
              <c:showCatName val="1"/>
              <c:showSerName val="0"/>
              <c:showPercent val="1"/>
              <c:showBubbleSize val="0"/>
              <c:separator>
</c:separator>
              <c:extLst>
                <c:ext xmlns:c15="http://schemas.microsoft.com/office/drawing/2012/chart" uri="{CE6537A1-D6FC-4f65-9D91-7224C49458BB}">
                  <c15:layout>
                    <c:manualLayout>
                      <c:w val="0.29142515562518001"/>
                      <c:h val="0.30155182663306501"/>
                    </c:manualLayout>
                  </c15:layout>
                </c:ext>
                <c:ext xmlns:c16="http://schemas.microsoft.com/office/drawing/2014/chart" uri="{C3380CC4-5D6E-409C-BE32-E72D297353CC}">
                  <c16:uniqueId val="{00000001-6DCF-4C4F-B5BF-E272313AD34E}"/>
                </c:ext>
              </c:extLst>
            </c:dLbl>
            <c:dLbl>
              <c:idx val="1"/>
              <c:layout>
                <c:manualLayout>
                  <c:x val="1.2460612069818423E-2"/>
                  <c:y val="-2.7703969686595501E-2"/>
                </c:manualLayout>
              </c:layout>
              <c:showLegendKey val="0"/>
              <c:showVal val="1"/>
              <c:showCatName val="1"/>
              <c:showSerName val="0"/>
              <c:showPercent val="1"/>
              <c:showBubbleSize val="0"/>
              <c:separator>
</c:separator>
              <c:extLst>
                <c:ext xmlns:c15="http://schemas.microsoft.com/office/drawing/2012/chart" uri="{CE6537A1-D6FC-4f65-9D91-7224C49458BB}">
                  <c15:layout>
                    <c:manualLayout>
                      <c:w val="0.28284333467579498"/>
                      <c:h val="0.26593348480814599"/>
                    </c:manualLayout>
                  </c15:layout>
                </c:ext>
                <c:ext xmlns:c16="http://schemas.microsoft.com/office/drawing/2014/chart" uri="{C3380CC4-5D6E-409C-BE32-E72D297353CC}">
                  <c16:uniqueId val="{00000003-6DCF-4C4F-B5BF-E272313AD34E}"/>
                </c:ext>
              </c:extLst>
            </c:dLbl>
            <c:dLbl>
              <c:idx val="2"/>
              <c:layout>
                <c:manualLayout>
                  <c:x val="8.2942859711849865E-2"/>
                  <c:y val="-4.3335938799562234E-7"/>
                </c:manualLayout>
              </c:layout>
              <c:showLegendKey val="0"/>
              <c:showVal val="1"/>
              <c:showCatName val="1"/>
              <c:showSerName val="0"/>
              <c:showPercent val="1"/>
              <c:showBubbleSize val="0"/>
              <c:separator>
</c:separator>
              <c:extLst>
                <c:ext xmlns:c15="http://schemas.microsoft.com/office/drawing/2012/chart" uri="{CE6537A1-D6FC-4f65-9D91-7224C49458BB}">
                  <c15:layout>
                    <c:manualLayout>
                      <c:w val="0.35509169010305891"/>
                      <c:h val="0.24437225732158971"/>
                    </c:manualLayout>
                  </c15:layout>
                </c:ext>
                <c:ext xmlns:c16="http://schemas.microsoft.com/office/drawing/2014/chart" uri="{C3380CC4-5D6E-409C-BE32-E72D297353CC}">
                  <c16:uniqueId val="{00000005-6DCF-4C4F-B5BF-E272313AD34E}"/>
                </c:ext>
              </c:extLst>
            </c:dLbl>
            <c:dLbl>
              <c:idx val="3"/>
              <c:layout>
                <c:manualLayout>
                  <c:x val="1.7236535677890658E-2"/>
                  <c:y val="0.14539774672434722"/>
                </c:manualLayout>
              </c:layout>
              <c:showLegendKey val="0"/>
              <c:showVal val="1"/>
              <c:showCatName val="1"/>
              <c:showSerName val="0"/>
              <c:showPercent val="1"/>
              <c:showBubbleSize val="0"/>
              <c:separator>
</c:separator>
              <c:extLst>
                <c:ext xmlns:c15="http://schemas.microsoft.com/office/drawing/2012/chart" uri="{CE6537A1-D6FC-4f65-9D91-7224C49458BB}">
                  <c15:layout>
                    <c:manualLayout>
                      <c:w val="0.25434407174035234"/>
                      <c:h val="0.44001859574865393"/>
                    </c:manualLayout>
                  </c15:layout>
                </c:ext>
                <c:ext xmlns:c16="http://schemas.microsoft.com/office/drawing/2014/chart" uri="{C3380CC4-5D6E-409C-BE32-E72D297353CC}">
                  <c16:uniqueId val="{00000007-6DCF-4C4F-B5BF-E272313AD34E}"/>
                </c:ext>
              </c:extLst>
            </c:dLbl>
            <c:dLbl>
              <c:idx val="4"/>
              <c:layout>
                <c:manualLayout>
                  <c:x val="1.9905071135443476E-2"/>
                  <c:y val="2.6539790233730664E-3"/>
                </c:manualLayout>
              </c:layou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6DCF-4C4F-B5BF-E272313AD34E}"/>
                </c:ext>
              </c:extLst>
            </c:dLbl>
            <c:spPr>
              <a:noFill/>
              <a:ln>
                <a:noFill/>
              </a:ln>
              <a:effectLst/>
            </c:spPr>
            <c:txPr>
              <a:bodyPr rot="0" vert="horz"/>
              <a:lstStyle/>
              <a:p>
                <a:pPr>
                  <a:defRPr/>
                </a:pPr>
                <a:endParaRPr lang="pt-BR"/>
              </a:p>
            </c:txPr>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Result_Inovação!$A$15:$A$20</c:f>
              <c:strCache>
                <c:ptCount val="5"/>
                <c:pt idx="0">
                  <c:v>Não fizemos inovação em processo durante o período</c:v>
                </c:pt>
                <c:pt idx="1">
                  <c:v>Aperfeiçoamento de um processo já existente</c:v>
                </c:pt>
                <c:pt idx="2">
                  <c:v>Processo novo para a empresa, mas não para o mercado</c:v>
                </c:pt>
                <c:pt idx="3">
                  <c:v>Processo novo para o mercado, mas não para o mundo</c:v>
                </c:pt>
                <c:pt idx="4">
                  <c:v>Processo novo para o mundo</c:v>
                </c:pt>
              </c:strCache>
            </c:strRef>
          </c:cat>
          <c:val>
            <c:numRef>
              <c:f>Result_Inovação!$B$15:$B$20</c:f>
              <c:numCache>
                <c:formatCode>General</c:formatCode>
                <c:ptCount val="5"/>
                <c:pt idx="0">
                  <c:v>5</c:v>
                </c:pt>
                <c:pt idx="1">
                  <c:v>15</c:v>
                </c:pt>
                <c:pt idx="2">
                  <c:v>12</c:v>
                </c:pt>
                <c:pt idx="3">
                  <c:v>8</c:v>
                </c:pt>
                <c:pt idx="4">
                  <c:v>4</c:v>
                </c:pt>
              </c:numCache>
            </c:numRef>
          </c:val>
          <c:extLst>
            <c:ext xmlns:c16="http://schemas.microsoft.com/office/drawing/2014/chart" uri="{C3380CC4-5D6E-409C-BE32-E72D297353CC}">
              <c16:uniqueId val="{0000000A-6DCF-4C4F-B5BF-E272313AD34E}"/>
            </c:ext>
          </c:extLst>
        </c:ser>
        <c:ser>
          <c:idx val="1"/>
          <c:order val="1"/>
          <c:tx>
            <c:strRef>
              <c:f>Result_Inovação!$C$14</c:f>
              <c:strCache>
                <c:ptCount val="1"/>
                <c:pt idx="0">
                  <c:v>%</c:v>
                </c:pt>
              </c:strCache>
            </c:strRef>
          </c:tx>
          <c:dPt>
            <c:idx val="0"/>
            <c:bubble3D val="0"/>
            <c:spPr>
              <a:solidFill>
                <a:schemeClr val="accent3">
                  <a:shade val="53000"/>
                </a:schemeClr>
              </a:solidFill>
              <a:ln w="19050">
                <a:solidFill>
                  <a:schemeClr val="lt1"/>
                </a:solidFill>
              </a:ln>
              <a:effectLst/>
            </c:spPr>
            <c:extLst>
              <c:ext xmlns:c16="http://schemas.microsoft.com/office/drawing/2014/chart" uri="{C3380CC4-5D6E-409C-BE32-E72D297353CC}">
                <c16:uniqueId val="{0000000C-6DCF-4C4F-B5BF-E272313AD34E}"/>
              </c:ext>
            </c:extLst>
          </c:dPt>
          <c:dPt>
            <c:idx val="1"/>
            <c:bubble3D val="0"/>
            <c:spPr>
              <a:solidFill>
                <a:schemeClr val="accent3">
                  <a:shade val="76000"/>
                </a:schemeClr>
              </a:solidFill>
              <a:ln w="19050">
                <a:solidFill>
                  <a:schemeClr val="lt1"/>
                </a:solidFill>
              </a:ln>
              <a:effectLst/>
            </c:spPr>
            <c:extLst>
              <c:ext xmlns:c16="http://schemas.microsoft.com/office/drawing/2014/chart" uri="{C3380CC4-5D6E-409C-BE32-E72D297353CC}">
                <c16:uniqueId val="{0000000E-6DCF-4C4F-B5BF-E272313AD34E}"/>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6DCF-4C4F-B5BF-E272313AD34E}"/>
              </c:ext>
            </c:extLst>
          </c:dPt>
          <c:dPt>
            <c:idx val="3"/>
            <c:bubble3D val="0"/>
            <c:spPr>
              <a:solidFill>
                <a:schemeClr val="accent3">
                  <a:tint val="77000"/>
                </a:schemeClr>
              </a:solidFill>
              <a:ln w="19050">
                <a:solidFill>
                  <a:schemeClr val="lt1"/>
                </a:solidFill>
              </a:ln>
              <a:effectLst/>
            </c:spPr>
            <c:extLst>
              <c:ext xmlns:c16="http://schemas.microsoft.com/office/drawing/2014/chart" uri="{C3380CC4-5D6E-409C-BE32-E72D297353CC}">
                <c16:uniqueId val="{00000012-6DCF-4C4F-B5BF-E272313AD34E}"/>
              </c:ext>
            </c:extLst>
          </c:dPt>
          <c:dPt>
            <c:idx val="4"/>
            <c:bubble3D val="0"/>
            <c:spPr>
              <a:solidFill>
                <a:schemeClr val="accent3">
                  <a:tint val="54000"/>
                </a:schemeClr>
              </a:solidFill>
              <a:ln w="19050">
                <a:solidFill>
                  <a:schemeClr val="lt1"/>
                </a:solidFill>
              </a:ln>
              <a:effectLst/>
            </c:spPr>
            <c:extLst>
              <c:ext xmlns:c16="http://schemas.microsoft.com/office/drawing/2014/chart" uri="{C3380CC4-5D6E-409C-BE32-E72D297353CC}">
                <c16:uniqueId val="{00000014-6DCF-4C4F-B5BF-E272313AD34E}"/>
              </c:ext>
            </c:extLst>
          </c:dPt>
          <c:cat>
            <c:strRef>
              <c:f>Result_Inovação!$A$15:$A$20</c:f>
              <c:strCache>
                <c:ptCount val="5"/>
                <c:pt idx="0">
                  <c:v>Não fizemos inovação em processo durante o período</c:v>
                </c:pt>
                <c:pt idx="1">
                  <c:v>Aperfeiçoamento de um processo já existente</c:v>
                </c:pt>
                <c:pt idx="2">
                  <c:v>Processo novo para a empresa, mas não para o mercado</c:v>
                </c:pt>
                <c:pt idx="3">
                  <c:v>Processo novo para o mercado, mas não para o mundo</c:v>
                </c:pt>
                <c:pt idx="4">
                  <c:v>Processo novo para o mundo</c:v>
                </c:pt>
              </c:strCache>
            </c:strRef>
          </c:cat>
          <c:val>
            <c:numRef>
              <c:f>Result_Inovação!$C$15:$C$20</c:f>
              <c:numCache>
                <c:formatCode>0%</c:formatCode>
                <c:ptCount val="5"/>
                <c:pt idx="0">
                  <c:v>0.11363636363636398</c:v>
                </c:pt>
                <c:pt idx="1">
                  <c:v>0.34090909090909138</c:v>
                </c:pt>
                <c:pt idx="2">
                  <c:v>0.27272727272727298</c:v>
                </c:pt>
                <c:pt idx="3">
                  <c:v>0.18181818181818374</c:v>
                </c:pt>
                <c:pt idx="4">
                  <c:v>9.0909090909091064E-2</c:v>
                </c:pt>
              </c:numCache>
            </c:numRef>
          </c:val>
          <c:extLst>
            <c:ext xmlns:c16="http://schemas.microsoft.com/office/drawing/2014/chart" uri="{C3380CC4-5D6E-409C-BE32-E72D297353CC}">
              <c16:uniqueId val="{00000015-6DCF-4C4F-B5BF-E272313AD34E}"/>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lang="pt-B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externalData r:id="rId1">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32703721363798438"/>
          <c:y val="0"/>
          <c:w val="0.62701083804786295"/>
          <c:h val="0.90036535605510304"/>
        </c:manualLayout>
      </c:layout>
      <c:barChart>
        <c:barDir val="bar"/>
        <c:grouping val="clustered"/>
        <c:varyColors val="0"/>
        <c:ser>
          <c:idx val="1"/>
          <c:order val="0"/>
          <c:tx>
            <c:strRef>
              <c:f>Result_Inovação!$B$70</c:f>
              <c:strCache>
                <c:ptCount val="1"/>
                <c:pt idx="0">
                  <c:v>Sim</c:v>
                </c:pt>
              </c:strCache>
            </c:strRef>
          </c:tx>
          <c:spPr>
            <a:solidFill>
              <a:schemeClr val="accent3">
                <a:tint val="77000"/>
              </a:schemeClr>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Result_Inovação!$A$71:$A$73</c:f>
              <c:strCache>
                <c:ptCount val="3"/>
                <c:pt idx="0">
                  <c:v>Inovação nas relações externas</c:v>
                </c:pt>
                <c:pt idx="1">
                  <c:v>Inovação na estrutura organizacional</c:v>
                </c:pt>
                <c:pt idx="2">
                  <c:v>Inovação em técnicas de gestão</c:v>
                </c:pt>
              </c:strCache>
            </c:strRef>
          </c:cat>
          <c:val>
            <c:numRef>
              <c:f>Result_Inovação!$B$71:$B$73</c:f>
              <c:numCache>
                <c:formatCode>0%</c:formatCode>
                <c:ptCount val="3"/>
                <c:pt idx="0">
                  <c:v>0.55000000000000004</c:v>
                </c:pt>
                <c:pt idx="1">
                  <c:v>0.66000000000000636</c:v>
                </c:pt>
                <c:pt idx="2">
                  <c:v>0.77000000000000479</c:v>
                </c:pt>
              </c:numCache>
            </c:numRef>
          </c:val>
          <c:extLst>
            <c:ext xmlns:c16="http://schemas.microsoft.com/office/drawing/2014/chart" uri="{C3380CC4-5D6E-409C-BE32-E72D297353CC}">
              <c16:uniqueId val="{00000000-4D32-4995-AF73-5310FF72072D}"/>
            </c:ext>
          </c:extLst>
        </c:ser>
        <c:dLbls>
          <c:showLegendKey val="0"/>
          <c:showVal val="0"/>
          <c:showCatName val="0"/>
          <c:showSerName val="0"/>
          <c:showPercent val="0"/>
          <c:showBubbleSize val="0"/>
        </c:dLbls>
        <c:gapWidth val="150"/>
        <c:axId val="92007808"/>
        <c:axId val="93062272"/>
      </c:barChart>
      <c:catAx>
        <c:axId val="920078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pt-BR"/>
          </a:p>
        </c:txPr>
        <c:crossAx val="93062272"/>
        <c:crosses val="autoZero"/>
        <c:auto val="1"/>
        <c:lblAlgn val="ctr"/>
        <c:lblOffset val="100"/>
        <c:noMultiLvlLbl val="0"/>
      </c:catAx>
      <c:valAx>
        <c:axId val="93062272"/>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Times New Roman" pitchFamily="18" charset="0"/>
                <a:ea typeface="+mn-ea"/>
                <a:cs typeface="Times New Roman" pitchFamily="18" charset="0"/>
              </a:defRPr>
            </a:pPr>
            <a:endParaRPr lang="pt-BR"/>
          </a:p>
        </c:txPr>
        <c:crossAx val="920078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solidFill>
            <a:sysClr val="windowText" lastClr="000000"/>
          </a:solidFill>
        </a:defRPr>
      </a:pPr>
      <a:endParaRPr lang="pt-B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9180983001705325"/>
          <c:y val="3.220093382708125E-3"/>
          <c:w val="0.50347393874879298"/>
          <c:h val="0.94139987854923879"/>
        </c:manualLayout>
      </c:layout>
      <c:bar3DChart>
        <c:barDir val="bar"/>
        <c:grouping val="clustered"/>
        <c:varyColors val="0"/>
        <c:ser>
          <c:idx val="0"/>
          <c:order val="0"/>
          <c:tx>
            <c:strRef>
              <c:f>Processo_Inovação!$C$5</c:f>
              <c:strCache>
                <c:ptCount val="1"/>
                <c:pt idx="0">
                  <c:v>%</c:v>
                </c:pt>
              </c:strCache>
            </c:strRef>
          </c:tx>
          <c:spPr>
            <a:solidFill>
              <a:schemeClr val="accent3"/>
            </a:solidFill>
            <a:ln>
              <a:noFill/>
            </a:ln>
            <a:effectLst/>
            <a:sp3d/>
          </c:spPr>
          <c:invertIfNegative val="0"/>
          <c:dLbls>
            <c:spPr>
              <a:noFill/>
              <a:ln>
                <a:noFill/>
              </a:ln>
              <a:effectLst/>
            </c:spPr>
            <c:txPr>
              <a:bodyPr rot="0" vert="horz"/>
              <a:lstStyle/>
              <a:p>
                <a:pPr>
                  <a:defRPr/>
                </a:pPr>
                <a:endParaRPr lang="pt-B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Processo_Inovação!$A$6:$A$17</c:f>
              <c:strCache>
                <c:ptCount val="12"/>
                <c:pt idx="0">
                  <c:v>Design, desenho industrial e engenharia</c:v>
                </c:pt>
                <c:pt idx="1">
                  <c:v>Contratação externa de P&amp;D</c:v>
                </c:pt>
                <c:pt idx="2">
                  <c:v>Pesquisa de mercado referente à inovação</c:v>
                </c:pt>
                <c:pt idx="3">
                  <c:v>Atividades de produção e comercialização da inovação</c:v>
                </c:pt>
                <c:pt idx="4">
                  <c:v>Aquisição de máquinas e equipamentos para inovar (exceto para P&amp;D)</c:v>
                </c:pt>
                <c:pt idx="5">
                  <c:v>Treinamento referente à inovação</c:v>
                </c:pt>
                <c:pt idx="6">
                  <c:v>Formulação e planejamento das estratégias de inovação</c:v>
                </c:pt>
                <c:pt idx="7">
                  <c:v>Aquisição de software para inovar (design, automação, engenharia, gestão etc. exceto para P&amp;D)</c:v>
                </c:pt>
                <c:pt idx="8">
                  <c:v>Prototipagem, testes e avaliação</c:v>
                </c:pt>
                <c:pt idx="9">
                  <c:v>Implementação de novos negócios ou empresas (novos modelos de negócio, spin offs, incubação, startups)</c:v>
                </c:pt>
                <c:pt idx="10">
                  <c:v>Aquisição de outros conhecimentos e tecnologias externas (licenciamentos, know how, serviços técnicos etc. exceto para P&amp;D)</c:v>
                </c:pt>
                <c:pt idx="11">
                  <c:v>Atividades inovativas internas de P&amp;D</c:v>
                </c:pt>
              </c:strCache>
            </c:strRef>
          </c:cat>
          <c:val>
            <c:numRef>
              <c:f>Processo_Inovação!$C$6:$C$17</c:f>
              <c:numCache>
                <c:formatCode>0%</c:formatCode>
                <c:ptCount val="12"/>
                <c:pt idx="0">
                  <c:v>0.20454545454545725</c:v>
                </c:pt>
                <c:pt idx="1">
                  <c:v>0.27272727272727298</c:v>
                </c:pt>
                <c:pt idx="2">
                  <c:v>0.43181818181818593</c:v>
                </c:pt>
                <c:pt idx="3">
                  <c:v>0.47727272727273062</c:v>
                </c:pt>
                <c:pt idx="4">
                  <c:v>0.54545454545454497</c:v>
                </c:pt>
                <c:pt idx="5">
                  <c:v>0.54545454545454497</c:v>
                </c:pt>
                <c:pt idx="6">
                  <c:v>0.59090909090909105</c:v>
                </c:pt>
                <c:pt idx="7">
                  <c:v>0.61363636363636298</c:v>
                </c:pt>
                <c:pt idx="8">
                  <c:v>0.63636363636364202</c:v>
                </c:pt>
                <c:pt idx="9">
                  <c:v>0.65909090909090995</c:v>
                </c:pt>
                <c:pt idx="10">
                  <c:v>0.7045454545454608</c:v>
                </c:pt>
                <c:pt idx="11">
                  <c:v>0.84090909090909782</c:v>
                </c:pt>
              </c:numCache>
            </c:numRef>
          </c:val>
          <c:extLst>
            <c:ext xmlns:c16="http://schemas.microsoft.com/office/drawing/2014/chart" uri="{C3380CC4-5D6E-409C-BE32-E72D297353CC}">
              <c16:uniqueId val="{00000000-BBD5-4ECC-A00D-0365945BC074}"/>
            </c:ext>
          </c:extLst>
        </c:ser>
        <c:dLbls>
          <c:showLegendKey val="0"/>
          <c:showVal val="0"/>
          <c:showCatName val="0"/>
          <c:showSerName val="0"/>
          <c:showPercent val="0"/>
          <c:showBubbleSize val="0"/>
        </c:dLbls>
        <c:gapWidth val="150"/>
        <c:shape val="box"/>
        <c:axId val="93074560"/>
        <c:axId val="93076096"/>
        <c:axId val="0"/>
      </c:bar3DChart>
      <c:catAx>
        <c:axId val="93074560"/>
        <c:scaling>
          <c:orientation val="minMax"/>
        </c:scaling>
        <c:delete val="0"/>
        <c:axPos val="l"/>
        <c:numFmt formatCode="General" sourceLinked="1"/>
        <c:majorTickMark val="none"/>
        <c:minorTickMark val="none"/>
        <c:tickLblPos val="nextTo"/>
        <c:spPr>
          <a:noFill/>
          <a:ln>
            <a:noFill/>
          </a:ln>
          <a:effectLst/>
        </c:spPr>
        <c:txPr>
          <a:bodyPr rot="-60000000" vert="horz"/>
          <a:lstStyle/>
          <a:p>
            <a:pPr>
              <a:defRPr sz="1000"/>
            </a:pPr>
            <a:endParaRPr lang="pt-BR"/>
          </a:p>
        </c:txPr>
        <c:crossAx val="93076096"/>
        <c:crosses val="autoZero"/>
        <c:auto val="1"/>
        <c:lblAlgn val="ctr"/>
        <c:lblOffset val="100"/>
        <c:noMultiLvlLbl val="0"/>
      </c:catAx>
      <c:valAx>
        <c:axId val="93076096"/>
        <c:scaling>
          <c:orientation val="minMax"/>
          <c:max val="0.9"/>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pt-BR"/>
          </a:p>
        </c:txPr>
        <c:crossAx val="930745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b="0">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35106370331371023"/>
          <c:y val="0.23701204016164645"/>
          <c:w val="0.3108234280097571"/>
          <c:h val="0.60997042036412119"/>
        </c:manualLayout>
      </c:layout>
      <c:pieChart>
        <c:varyColors val="1"/>
        <c:ser>
          <c:idx val="0"/>
          <c:order val="0"/>
          <c:tx>
            <c:strRef>
              <c:f>Profissionais!$B$34</c:f>
              <c:strCache>
                <c:ptCount val="1"/>
                <c:pt idx="0">
                  <c:v>Profissionais </c:v>
                </c:pt>
              </c:strCache>
            </c:strRef>
          </c:tx>
          <c:dPt>
            <c:idx val="0"/>
            <c:bubble3D val="0"/>
            <c:spPr>
              <a:solidFill>
                <a:schemeClr val="accent3">
                  <a:tint val="48000"/>
                </a:schemeClr>
              </a:solidFill>
              <a:ln w="19050">
                <a:solidFill>
                  <a:schemeClr val="lt1"/>
                </a:solidFill>
              </a:ln>
              <a:effectLst/>
            </c:spPr>
            <c:extLst>
              <c:ext xmlns:c16="http://schemas.microsoft.com/office/drawing/2014/chart" uri="{C3380CC4-5D6E-409C-BE32-E72D297353CC}">
                <c16:uniqueId val="{00000001-2108-4ACE-91CC-9FC46E9C5DA2}"/>
              </c:ext>
            </c:extLst>
          </c:dPt>
          <c:dPt>
            <c:idx val="1"/>
            <c:bubble3D val="0"/>
            <c:spPr>
              <a:solidFill>
                <a:schemeClr val="accent3">
                  <a:tint val="65000"/>
                </a:schemeClr>
              </a:solidFill>
              <a:ln w="19050">
                <a:solidFill>
                  <a:schemeClr val="lt1"/>
                </a:solidFill>
              </a:ln>
              <a:effectLst/>
            </c:spPr>
            <c:extLst>
              <c:ext xmlns:c16="http://schemas.microsoft.com/office/drawing/2014/chart" uri="{C3380CC4-5D6E-409C-BE32-E72D297353CC}">
                <c16:uniqueId val="{00000003-2108-4ACE-91CC-9FC46E9C5DA2}"/>
              </c:ext>
            </c:extLst>
          </c:dPt>
          <c:dPt>
            <c:idx val="2"/>
            <c:bubble3D val="0"/>
            <c:spPr>
              <a:solidFill>
                <a:schemeClr val="accent3">
                  <a:tint val="83000"/>
                </a:schemeClr>
              </a:solidFill>
              <a:ln w="19050">
                <a:solidFill>
                  <a:schemeClr val="lt1"/>
                </a:solidFill>
              </a:ln>
              <a:effectLst/>
            </c:spPr>
            <c:extLst>
              <c:ext xmlns:c16="http://schemas.microsoft.com/office/drawing/2014/chart" uri="{C3380CC4-5D6E-409C-BE32-E72D297353CC}">
                <c16:uniqueId val="{00000005-2108-4ACE-91CC-9FC46E9C5DA2}"/>
              </c:ext>
            </c:extLst>
          </c:dPt>
          <c:dPt>
            <c:idx val="3"/>
            <c:bubble3D val="0"/>
            <c:spPr>
              <a:solidFill>
                <a:schemeClr val="accent3"/>
              </a:solidFill>
              <a:ln w="19050">
                <a:solidFill>
                  <a:schemeClr val="lt1"/>
                </a:solidFill>
              </a:ln>
              <a:effectLst/>
            </c:spPr>
            <c:extLst>
              <c:ext xmlns:c16="http://schemas.microsoft.com/office/drawing/2014/chart" uri="{C3380CC4-5D6E-409C-BE32-E72D297353CC}">
                <c16:uniqueId val="{00000007-2108-4ACE-91CC-9FC46E9C5DA2}"/>
              </c:ext>
            </c:extLst>
          </c:dPt>
          <c:dPt>
            <c:idx val="4"/>
            <c:bubble3D val="0"/>
            <c:spPr>
              <a:solidFill>
                <a:schemeClr val="accent3">
                  <a:shade val="82000"/>
                </a:schemeClr>
              </a:solidFill>
              <a:ln w="19050">
                <a:solidFill>
                  <a:schemeClr val="lt1"/>
                </a:solidFill>
              </a:ln>
              <a:effectLst/>
            </c:spPr>
            <c:extLst>
              <c:ext xmlns:c16="http://schemas.microsoft.com/office/drawing/2014/chart" uri="{C3380CC4-5D6E-409C-BE32-E72D297353CC}">
                <c16:uniqueId val="{00000009-2108-4ACE-91CC-9FC46E9C5DA2}"/>
              </c:ext>
            </c:extLst>
          </c:dPt>
          <c:dPt>
            <c:idx val="5"/>
            <c:bubble3D val="0"/>
            <c:spPr>
              <a:solidFill>
                <a:schemeClr val="accent3">
                  <a:shade val="65000"/>
                </a:schemeClr>
              </a:solidFill>
              <a:ln w="19050">
                <a:solidFill>
                  <a:schemeClr val="lt1"/>
                </a:solidFill>
              </a:ln>
              <a:effectLst/>
            </c:spPr>
            <c:extLst>
              <c:ext xmlns:c16="http://schemas.microsoft.com/office/drawing/2014/chart" uri="{C3380CC4-5D6E-409C-BE32-E72D297353CC}">
                <c16:uniqueId val="{0000000B-2108-4ACE-91CC-9FC46E9C5DA2}"/>
              </c:ext>
            </c:extLst>
          </c:dPt>
          <c:dPt>
            <c:idx val="6"/>
            <c:bubble3D val="0"/>
            <c:spPr>
              <a:solidFill>
                <a:schemeClr val="accent3">
                  <a:shade val="47000"/>
                </a:schemeClr>
              </a:solidFill>
              <a:ln w="19050">
                <a:solidFill>
                  <a:schemeClr val="lt1"/>
                </a:solidFill>
              </a:ln>
              <a:effectLst/>
            </c:spPr>
            <c:extLst>
              <c:ext xmlns:c16="http://schemas.microsoft.com/office/drawing/2014/chart" uri="{C3380CC4-5D6E-409C-BE32-E72D297353CC}">
                <c16:uniqueId val="{0000000D-2108-4ACE-91CC-9FC46E9C5DA2}"/>
              </c:ext>
            </c:extLst>
          </c:dPt>
          <c:dLbls>
            <c:dLbl>
              <c:idx val="0"/>
              <c:layout>
                <c:manualLayout>
                  <c:x val="7.8483280719594609E-3"/>
                  <c:y val="4.6957880264966882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2108-4ACE-91CC-9FC46E9C5DA2}"/>
                </c:ext>
              </c:extLst>
            </c:dLbl>
            <c:dLbl>
              <c:idx val="1"/>
              <c:layout>
                <c:manualLayout>
                  <c:x val="9.4095443515771465E-3"/>
                  <c:y val="-9.2592592592593073E-3"/>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2108-4ACE-91CC-9FC46E9C5DA2}"/>
                </c:ext>
              </c:extLst>
            </c:dLbl>
            <c:dLbl>
              <c:idx val="2"/>
              <c:layout>
                <c:manualLayout>
                  <c:x val="4.0280823619075114E-3"/>
                  <c:y val="-1.3227513227512258E-3"/>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2108-4ACE-91CC-9FC46E9C5DA2}"/>
                </c:ext>
              </c:extLst>
            </c:dLbl>
            <c:dLbl>
              <c:idx val="3"/>
              <c:layout>
                <c:manualLayout>
                  <c:x val="9.681918635878228E-3"/>
                  <c:y val="8.6640003332916715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2108-4ACE-91CC-9FC46E9C5DA2}"/>
                </c:ext>
              </c:extLst>
            </c:dLbl>
            <c:dLbl>
              <c:idx val="4"/>
              <c:layout>
                <c:manualLayout>
                  <c:x val="-3.0323558571085891E-2"/>
                  <c:y val="8.3333333333333329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2108-4ACE-91CC-9FC46E9C5DA2}"/>
                </c:ext>
              </c:extLst>
            </c:dLbl>
            <c:dLbl>
              <c:idx val="5"/>
              <c:layout>
                <c:manualLayout>
                  <c:x val="-2.3319951681693627E-2"/>
                  <c:y val="4.6298379369245513E-3"/>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2108-4ACE-91CC-9FC46E9C5DA2}"/>
                </c:ext>
              </c:extLst>
            </c:dLbl>
            <c:dLbl>
              <c:idx val="6"/>
              <c:layout>
                <c:manualLayout>
                  <c:x val="6.5645599234040203E-2"/>
                  <c:y val="3.966170895304759E-4"/>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2108-4ACE-91CC-9FC46E9C5DA2}"/>
                </c:ext>
              </c:extLst>
            </c:dLbl>
            <c:spPr>
              <a:noFill/>
              <a:ln>
                <a:noFill/>
              </a:ln>
              <a:effectLst/>
            </c:spPr>
            <c:txPr>
              <a:bodyPr rot="0" spcFirstLastPara="1" vertOverflow="ellipsis" vert="horz" wrap="square" anchor="ctr" anchorCtr="1"/>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Profissionais!$A$35:$A$41</c:f>
              <c:strCache>
                <c:ptCount val="7"/>
                <c:pt idx="0">
                  <c:v>Até 29 anos</c:v>
                </c:pt>
                <c:pt idx="1">
                  <c:v>30 a 34 anos</c:v>
                </c:pt>
                <c:pt idx="2">
                  <c:v>35 a 39 anos</c:v>
                </c:pt>
                <c:pt idx="3">
                  <c:v>40 a 44 anos</c:v>
                </c:pt>
                <c:pt idx="4">
                  <c:v>45 a 49 anos</c:v>
                </c:pt>
                <c:pt idx="5">
                  <c:v>50 a 54 anos</c:v>
                </c:pt>
                <c:pt idx="6">
                  <c:v>Acima de 55 anos</c:v>
                </c:pt>
              </c:strCache>
            </c:strRef>
          </c:cat>
          <c:val>
            <c:numRef>
              <c:f>Profissionais!$B$35:$B$41</c:f>
              <c:numCache>
                <c:formatCode>General</c:formatCode>
                <c:ptCount val="7"/>
                <c:pt idx="0">
                  <c:v>14</c:v>
                </c:pt>
                <c:pt idx="1">
                  <c:v>17</c:v>
                </c:pt>
                <c:pt idx="2">
                  <c:v>19</c:v>
                </c:pt>
                <c:pt idx="3">
                  <c:v>18</c:v>
                </c:pt>
                <c:pt idx="4">
                  <c:v>7</c:v>
                </c:pt>
                <c:pt idx="5">
                  <c:v>8</c:v>
                </c:pt>
                <c:pt idx="6">
                  <c:v>7</c:v>
                </c:pt>
              </c:numCache>
            </c:numRef>
          </c:val>
          <c:extLst>
            <c:ext xmlns:c16="http://schemas.microsoft.com/office/drawing/2014/chart" uri="{C3380CC4-5D6E-409C-BE32-E72D297353CC}">
              <c16:uniqueId val="{0000000E-2108-4ACE-91CC-9FC46E9C5DA2}"/>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42241295838020249"/>
          <c:y val="0.21111493416264143"/>
          <c:w val="0.26673007874015753"/>
          <c:h val="0.65375019299058212"/>
        </c:manualLayout>
      </c:layout>
      <c:pieChart>
        <c:varyColors val="1"/>
        <c:ser>
          <c:idx val="0"/>
          <c:order val="0"/>
          <c:tx>
            <c:strRef>
              <c:f>Perfil_Resp!$N$6</c:f>
              <c:strCache>
                <c:ptCount val="1"/>
                <c:pt idx="0">
                  <c:v>Profissionais </c:v>
                </c:pt>
              </c:strCache>
            </c:strRef>
          </c:tx>
          <c:dPt>
            <c:idx val="0"/>
            <c:bubble3D val="0"/>
            <c:spPr>
              <a:solidFill>
                <a:schemeClr val="accent3">
                  <a:tint val="48000"/>
                </a:schemeClr>
              </a:solidFill>
              <a:ln w="19050">
                <a:solidFill>
                  <a:schemeClr val="lt1"/>
                </a:solidFill>
              </a:ln>
              <a:effectLst/>
            </c:spPr>
            <c:extLst>
              <c:ext xmlns:c16="http://schemas.microsoft.com/office/drawing/2014/chart" uri="{C3380CC4-5D6E-409C-BE32-E72D297353CC}">
                <c16:uniqueId val="{00000001-C139-4EDE-A4A0-142251B0F94B}"/>
              </c:ext>
            </c:extLst>
          </c:dPt>
          <c:dPt>
            <c:idx val="1"/>
            <c:bubble3D val="0"/>
            <c:spPr>
              <a:solidFill>
                <a:schemeClr val="accent3">
                  <a:tint val="65000"/>
                </a:schemeClr>
              </a:solidFill>
              <a:ln w="19050">
                <a:solidFill>
                  <a:schemeClr val="lt1"/>
                </a:solidFill>
              </a:ln>
              <a:effectLst/>
            </c:spPr>
            <c:extLst>
              <c:ext xmlns:c16="http://schemas.microsoft.com/office/drawing/2014/chart" uri="{C3380CC4-5D6E-409C-BE32-E72D297353CC}">
                <c16:uniqueId val="{00000003-C139-4EDE-A4A0-142251B0F94B}"/>
              </c:ext>
            </c:extLst>
          </c:dPt>
          <c:dPt>
            <c:idx val="2"/>
            <c:bubble3D val="0"/>
            <c:spPr>
              <a:solidFill>
                <a:schemeClr val="accent3">
                  <a:tint val="83000"/>
                </a:schemeClr>
              </a:solidFill>
              <a:ln w="19050">
                <a:solidFill>
                  <a:schemeClr val="lt1"/>
                </a:solidFill>
              </a:ln>
              <a:effectLst/>
            </c:spPr>
            <c:extLst>
              <c:ext xmlns:c16="http://schemas.microsoft.com/office/drawing/2014/chart" uri="{C3380CC4-5D6E-409C-BE32-E72D297353CC}">
                <c16:uniqueId val="{00000005-C139-4EDE-A4A0-142251B0F94B}"/>
              </c:ext>
            </c:extLst>
          </c:dPt>
          <c:dPt>
            <c:idx val="3"/>
            <c:bubble3D val="0"/>
            <c:spPr>
              <a:solidFill>
                <a:schemeClr val="accent3"/>
              </a:solidFill>
              <a:ln w="19050">
                <a:solidFill>
                  <a:schemeClr val="lt1"/>
                </a:solidFill>
              </a:ln>
              <a:effectLst/>
            </c:spPr>
            <c:extLst>
              <c:ext xmlns:c16="http://schemas.microsoft.com/office/drawing/2014/chart" uri="{C3380CC4-5D6E-409C-BE32-E72D297353CC}">
                <c16:uniqueId val="{00000007-C139-4EDE-A4A0-142251B0F94B}"/>
              </c:ext>
            </c:extLst>
          </c:dPt>
          <c:dPt>
            <c:idx val="4"/>
            <c:bubble3D val="0"/>
            <c:spPr>
              <a:solidFill>
                <a:schemeClr val="accent3">
                  <a:shade val="82000"/>
                </a:schemeClr>
              </a:solidFill>
              <a:ln w="19050">
                <a:solidFill>
                  <a:schemeClr val="lt1"/>
                </a:solidFill>
              </a:ln>
              <a:effectLst/>
            </c:spPr>
            <c:extLst>
              <c:ext xmlns:c16="http://schemas.microsoft.com/office/drawing/2014/chart" uri="{C3380CC4-5D6E-409C-BE32-E72D297353CC}">
                <c16:uniqueId val="{00000009-C139-4EDE-A4A0-142251B0F94B}"/>
              </c:ext>
            </c:extLst>
          </c:dPt>
          <c:dPt>
            <c:idx val="5"/>
            <c:bubble3D val="0"/>
            <c:spPr>
              <a:solidFill>
                <a:schemeClr val="accent3">
                  <a:shade val="65000"/>
                </a:schemeClr>
              </a:solidFill>
              <a:ln w="19050">
                <a:solidFill>
                  <a:schemeClr val="lt1"/>
                </a:solidFill>
              </a:ln>
              <a:effectLst/>
            </c:spPr>
            <c:extLst>
              <c:ext xmlns:c16="http://schemas.microsoft.com/office/drawing/2014/chart" uri="{C3380CC4-5D6E-409C-BE32-E72D297353CC}">
                <c16:uniqueId val="{0000000B-C139-4EDE-A4A0-142251B0F94B}"/>
              </c:ext>
            </c:extLst>
          </c:dPt>
          <c:dPt>
            <c:idx val="6"/>
            <c:bubble3D val="0"/>
            <c:spPr>
              <a:solidFill>
                <a:schemeClr val="accent3">
                  <a:shade val="47000"/>
                </a:schemeClr>
              </a:solidFill>
              <a:ln w="19050">
                <a:solidFill>
                  <a:schemeClr val="lt1"/>
                </a:solidFill>
              </a:ln>
              <a:effectLst/>
            </c:spPr>
            <c:extLst>
              <c:ext xmlns:c16="http://schemas.microsoft.com/office/drawing/2014/chart" uri="{C3380CC4-5D6E-409C-BE32-E72D297353CC}">
                <c16:uniqueId val="{0000000D-C139-4EDE-A4A0-142251B0F94B}"/>
              </c:ext>
            </c:extLst>
          </c:dPt>
          <c:dLbls>
            <c:dLbl>
              <c:idx val="0"/>
              <c:layout>
                <c:manualLayout>
                  <c:x val="4.065040650406504E-2"/>
                  <c:y val="1.8518518518518583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C139-4EDE-A4A0-142251B0F94B}"/>
                </c:ext>
              </c:extLst>
            </c:dLbl>
            <c:dLbl>
              <c:idx val="1"/>
              <c:layout>
                <c:manualLayout>
                  <c:x val="5.9075635545556719E-2"/>
                  <c:y val="0.11111096407066763"/>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C139-4EDE-A4A0-142251B0F94B}"/>
                </c:ext>
              </c:extLst>
            </c:dLbl>
            <c:dLbl>
              <c:idx val="2"/>
              <c:layout>
                <c:manualLayout>
                  <c:x val="-1.3255883014623255E-2"/>
                  <c:y val="3.991618694721983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C139-4EDE-A4A0-142251B0F94B}"/>
                </c:ext>
              </c:extLst>
            </c:dLbl>
            <c:dLbl>
              <c:idx val="3"/>
              <c:layout>
                <c:manualLayout>
                  <c:x val="-5.475455568054035E-3"/>
                  <c:y val="-2.9568362778183165E-3"/>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C139-4EDE-A4A0-142251B0F94B}"/>
                </c:ext>
              </c:extLst>
            </c:dLbl>
            <c:dLbl>
              <c:idx val="4"/>
              <c:layout>
                <c:manualLayout>
                  <c:x val="-5.6049493813273385E-2"/>
                  <c:y val="2.8011204481792614E-2"/>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C139-4EDE-A4A0-142251B0F94B}"/>
                </c:ext>
              </c:extLst>
            </c:dLbl>
            <c:dLbl>
              <c:idx val="5"/>
              <c:layout>
                <c:manualLayout>
                  <c:x val="-2.7348121484814442E-2"/>
                  <c:y val="-7.7809391473124684E-3"/>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B-C139-4EDE-A4A0-142251B0F94B}"/>
                </c:ext>
              </c:extLst>
            </c:dLbl>
            <c:dLbl>
              <c:idx val="6"/>
              <c:layout>
                <c:manualLayout>
                  <c:x val="3.0131826741996232E-2"/>
                  <c:y val="0"/>
                </c:manualLayout>
              </c:layout>
              <c:dLblPos val="bestFit"/>
              <c:showLegendKey val="0"/>
              <c:showVal val="1"/>
              <c:showCatName val="1"/>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D-C139-4EDE-A4A0-142251B0F94B}"/>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pt-BR"/>
              </a:p>
            </c:txPr>
            <c:dLblPos val="outEnd"/>
            <c:showLegendKey val="0"/>
            <c:showVal val="1"/>
            <c:showCatName val="1"/>
            <c:showSerName val="0"/>
            <c:showPercent val="1"/>
            <c:showBubbleSize val="0"/>
            <c:separator>
</c:separator>
            <c:showLeaderLines val="0"/>
            <c:extLst>
              <c:ext xmlns:c15="http://schemas.microsoft.com/office/drawing/2012/chart" uri="{CE6537A1-D6FC-4f65-9D91-7224C49458BB}"/>
            </c:extLst>
          </c:dLbls>
          <c:cat>
            <c:strRef>
              <c:f>Perfil_Resp!$M$7:$M$13</c:f>
              <c:strCache>
                <c:ptCount val="7"/>
                <c:pt idx="0">
                  <c:v>Até 29 anos</c:v>
                </c:pt>
                <c:pt idx="1">
                  <c:v>30 a 34 anos</c:v>
                </c:pt>
                <c:pt idx="2">
                  <c:v>35 a 39 anos</c:v>
                </c:pt>
                <c:pt idx="3">
                  <c:v>40 a 44 anos</c:v>
                </c:pt>
                <c:pt idx="4">
                  <c:v>45 a 49 anos</c:v>
                </c:pt>
                <c:pt idx="5">
                  <c:v>50 a 54 anos</c:v>
                </c:pt>
                <c:pt idx="6">
                  <c:v>Acima de 55 anos</c:v>
                </c:pt>
              </c:strCache>
            </c:strRef>
          </c:cat>
          <c:val>
            <c:numRef>
              <c:f>Perfil_Resp!$N$7:$N$13</c:f>
              <c:numCache>
                <c:formatCode>General</c:formatCode>
                <c:ptCount val="7"/>
                <c:pt idx="0">
                  <c:v>1</c:v>
                </c:pt>
                <c:pt idx="1">
                  <c:v>7</c:v>
                </c:pt>
                <c:pt idx="2">
                  <c:v>11</c:v>
                </c:pt>
                <c:pt idx="3">
                  <c:v>12</c:v>
                </c:pt>
                <c:pt idx="4">
                  <c:v>1</c:v>
                </c:pt>
                <c:pt idx="5">
                  <c:v>8</c:v>
                </c:pt>
                <c:pt idx="6">
                  <c:v>4</c:v>
                </c:pt>
              </c:numCache>
            </c:numRef>
          </c:val>
          <c:extLst>
            <c:ext xmlns:c16="http://schemas.microsoft.com/office/drawing/2014/chart" uri="{C3380CC4-5D6E-409C-BE32-E72D297353CC}">
              <c16:uniqueId val="{0000000E-C139-4EDE-A4A0-142251B0F94B}"/>
            </c:ext>
          </c:extLst>
        </c:ser>
        <c:ser>
          <c:idx val="1"/>
          <c:order val="1"/>
          <c:tx>
            <c:strRef>
              <c:f>Perfil_Resp!$O$6</c:f>
              <c:strCache>
                <c:ptCount val="1"/>
                <c:pt idx="0">
                  <c:v>%</c:v>
                </c:pt>
              </c:strCache>
            </c:strRef>
          </c:tx>
          <c:dPt>
            <c:idx val="0"/>
            <c:bubble3D val="0"/>
            <c:spPr>
              <a:solidFill>
                <a:schemeClr val="accent3">
                  <a:tint val="48000"/>
                </a:schemeClr>
              </a:solidFill>
              <a:ln w="19050">
                <a:solidFill>
                  <a:schemeClr val="lt1"/>
                </a:solidFill>
              </a:ln>
              <a:effectLst/>
            </c:spPr>
            <c:extLst>
              <c:ext xmlns:c16="http://schemas.microsoft.com/office/drawing/2014/chart" uri="{C3380CC4-5D6E-409C-BE32-E72D297353CC}">
                <c16:uniqueId val="{00000010-C139-4EDE-A4A0-142251B0F94B}"/>
              </c:ext>
            </c:extLst>
          </c:dPt>
          <c:dPt>
            <c:idx val="1"/>
            <c:bubble3D val="0"/>
            <c:spPr>
              <a:solidFill>
                <a:schemeClr val="accent3">
                  <a:tint val="65000"/>
                </a:schemeClr>
              </a:solidFill>
              <a:ln w="19050">
                <a:solidFill>
                  <a:schemeClr val="lt1"/>
                </a:solidFill>
              </a:ln>
              <a:effectLst/>
            </c:spPr>
            <c:extLst>
              <c:ext xmlns:c16="http://schemas.microsoft.com/office/drawing/2014/chart" uri="{C3380CC4-5D6E-409C-BE32-E72D297353CC}">
                <c16:uniqueId val="{00000012-C139-4EDE-A4A0-142251B0F94B}"/>
              </c:ext>
            </c:extLst>
          </c:dPt>
          <c:dPt>
            <c:idx val="2"/>
            <c:bubble3D val="0"/>
            <c:spPr>
              <a:solidFill>
                <a:schemeClr val="accent3">
                  <a:tint val="83000"/>
                </a:schemeClr>
              </a:solidFill>
              <a:ln w="19050">
                <a:solidFill>
                  <a:schemeClr val="lt1"/>
                </a:solidFill>
              </a:ln>
              <a:effectLst/>
            </c:spPr>
            <c:extLst>
              <c:ext xmlns:c16="http://schemas.microsoft.com/office/drawing/2014/chart" uri="{C3380CC4-5D6E-409C-BE32-E72D297353CC}">
                <c16:uniqueId val="{00000014-C139-4EDE-A4A0-142251B0F94B}"/>
              </c:ext>
            </c:extLst>
          </c:dPt>
          <c:dPt>
            <c:idx val="3"/>
            <c:bubble3D val="0"/>
            <c:spPr>
              <a:solidFill>
                <a:schemeClr val="accent3"/>
              </a:solidFill>
              <a:ln w="19050">
                <a:solidFill>
                  <a:schemeClr val="lt1"/>
                </a:solidFill>
              </a:ln>
              <a:effectLst/>
            </c:spPr>
            <c:extLst>
              <c:ext xmlns:c16="http://schemas.microsoft.com/office/drawing/2014/chart" uri="{C3380CC4-5D6E-409C-BE32-E72D297353CC}">
                <c16:uniqueId val="{00000016-C139-4EDE-A4A0-142251B0F94B}"/>
              </c:ext>
            </c:extLst>
          </c:dPt>
          <c:dPt>
            <c:idx val="4"/>
            <c:bubble3D val="0"/>
            <c:spPr>
              <a:solidFill>
                <a:schemeClr val="accent3">
                  <a:shade val="82000"/>
                </a:schemeClr>
              </a:solidFill>
              <a:ln w="19050">
                <a:solidFill>
                  <a:schemeClr val="lt1"/>
                </a:solidFill>
              </a:ln>
              <a:effectLst/>
            </c:spPr>
            <c:extLst>
              <c:ext xmlns:c16="http://schemas.microsoft.com/office/drawing/2014/chart" uri="{C3380CC4-5D6E-409C-BE32-E72D297353CC}">
                <c16:uniqueId val="{00000018-C139-4EDE-A4A0-142251B0F94B}"/>
              </c:ext>
            </c:extLst>
          </c:dPt>
          <c:dPt>
            <c:idx val="5"/>
            <c:bubble3D val="0"/>
            <c:spPr>
              <a:solidFill>
                <a:schemeClr val="accent3">
                  <a:shade val="65000"/>
                </a:schemeClr>
              </a:solidFill>
              <a:ln w="19050">
                <a:solidFill>
                  <a:schemeClr val="lt1"/>
                </a:solidFill>
              </a:ln>
              <a:effectLst/>
            </c:spPr>
            <c:extLst>
              <c:ext xmlns:c16="http://schemas.microsoft.com/office/drawing/2014/chart" uri="{C3380CC4-5D6E-409C-BE32-E72D297353CC}">
                <c16:uniqueId val="{0000001A-C139-4EDE-A4A0-142251B0F94B}"/>
              </c:ext>
            </c:extLst>
          </c:dPt>
          <c:dPt>
            <c:idx val="6"/>
            <c:bubble3D val="0"/>
            <c:spPr>
              <a:solidFill>
                <a:schemeClr val="accent3">
                  <a:shade val="47000"/>
                </a:schemeClr>
              </a:solidFill>
              <a:ln w="19050">
                <a:solidFill>
                  <a:schemeClr val="lt1"/>
                </a:solidFill>
              </a:ln>
              <a:effectLst/>
            </c:spPr>
            <c:extLst>
              <c:ext xmlns:c16="http://schemas.microsoft.com/office/drawing/2014/chart" uri="{C3380CC4-5D6E-409C-BE32-E72D297353CC}">
                <c16:uniqueId val="{0000001C-C139-4EDE-A4A0-142251B0F94B}"/>
              </c:ext>
            </c:extLst>
          </c:dPt>
          <c:cat>
            <c:strRef>
              <c:f>Perfil_Resp!$M$7:$M$13</c:f>
              <c:strCache>
                <c:ptCount val="7"/>
                <c:pt idx="0">
                  <c:v>Até 29 anos</c:v>
                </c:pt>
                <c:pt idx="1">
                  <c:v>30 a 34 anos</c:v>
                </c:pt>
                <c:pt idx="2">
                  <c:v>35 a 39 anos</c:v>
                </c:pt>
                <c:pt idx="3">
                  <c:v>40 a 44 anos</c:v>
                </c:pt>
                <c:pt idx="4">
                  <c:v>45 a 49 anos</c:v>
                </c:pt>
                <c:pt idx="5">
                  <c:v>50 a 54 anos</c:v>
                </c:pt>
                <c:pt idx="6">
                  <c:v>Acima de 55 anos</c:v>
                </c:pt>
              </c:strCache>
            </c:strRef>
          </c:cat>
          <c:val>
            <c:numRef>
              <c:f>Perfil_Resp!$O$7:$O$13</c:f>
              <c:numCache>
                <c:formatCode>0%</c:formatCode>
                <c:ptCount val="7"/>
                <c:pt idx="0">
                  <c:v>2.2727272727273186E-2</c:v>
                </c:pt>
                <c:pt idx="1">
                  <c:v>0.15909090909091028</c:v>
                </c:pt>
                <c:pt idx="2">
                  <c:v>0.25</c:v>
                </c:pt>
                <c:pt idx="3">
                  <c:v>0.27272727272727298</c:v>
                </c:pt>
                <c:pt idx="4">
                  <c:v>2.2727272727273186E-2</c:v>
                </c:pt>
                <c:pt idx="5">
                  <c:v>0.18181818181818374</c:v>
                </c:pt>
                <c:pt idx="6">
                  <c:v>9.0909090909091064E-2</c:v>
                </c:pt>
              </c:numCache>
            </c:numRef>
          </c:val>
          <c:extLst>
            <c:ext xmlns:c16="http://schemas.microsoft.com/office/drawing/2014/chart" uri="{C3380CC4-5D6E-409C-BE32-E72D297353CC}">
              <c16:uniqueId val="{0000001D-C139-4EDE-A4A0-142251B0F94B}"/>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zero"/>
    <c:showDLblsOverMax val="0"/>
  </c:chart>
  <c:spPr>
    <a:solidFill>
      <a:schemeClr val="bg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63363-9049-42E6-BCC7-73F5CE959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8909</Words>
  <Characters>48112</Characters>
  <Application>Microsoft Office Word</Application>
  <DocSecurity>0</DocSecurity>
  <Lines>400</Lines>
  <Paragraphs>113</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56908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2018-05-10T18:39:00Z</dcterms:created>
  <dcterms:modified xsi:type="dcterms:W3CDTF">2018-05-10T18:39:00Z</dcterms:modified>
</cp:coreProperties>
</file>